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8F" w:rsidRPr="00AA35D5" w:rsidRDefault="00C51A3B" w:rsidP="00C51A3B">
      <w:pPr>
        <w:widowControl/>
        <w:rPr>
          <w:rFonts w:ascii="Century Schoolbook" w:eastAsia="PMingLiU" w:hAnsi="Century Schoolbook" w:cs="PMingLiU"/>
          <w:b/>
          <w:bCs/>
          <w:sz w:val="30"/>
          <w:szCs w:val="30"/>
        </w:rPr>
      </w:pPr>
      <w:r>
        <w:rPr>
          <w:rFonts w:ascii="Century Schoolbook" w:eastAsia="PMingLiU" w:hAnsi="Century Schoolbook" w:cs="PMingLiU"/>
          <w:b/>
          <w:bCs/>
          <w:sz w:val="30"/>
          <w:szCs w:val="30"/>
        </w:rPr>
        <w:t xml:space="preserve">       </w:t>
      </w:r>
      <w:r w:rsidR="0072498F" w:rsidRPr="00AA35D5">
        <w:rPr>
          <w:rFonts w:ascii="Century Schoolbook" w:eastAsia="PMingLiU" w:hAnsi="Century Schoolbook" w:cs="PMingLiU"/>
          <w:b/>
          <w:bCs/>
          <w:sz w:val="30"/>
          <w:szCs w:val="30"/>
        </w:rPr>
        <w:t>IN THE UNITED STATES COURT OF APPEALS</w:t>
      </w:r>
    </w:p>
    <w:p w:rsidR="0072498F" w:rsidRPr="00AA35D5" w:rsidRDefault="006666B2">
      <w:pPr>
        <w:widowControl/>
        <w:jc w:val="center"/>
        <w:rPr>
          <w:rFonts w:ascii="Century Schoolbook" w:eastAsia="PMingLiU" w:hAnsi="Century Schoolbook" w:cs="PMingLiU"/>
          <w:sz w:val="26"/>
          <w:szCs w:val="26"/>
        </w:rPr>
      </w:pPr>
      <w:r>
        <w:rPr>
          <w:rFonts w:ascii="Century Schoolbook" w:eastAsia="PMingLiU" w:hAnsi="Century Schoolbook" w:cs="PMingLiU"/>
          <w:noProof/>
          <w:sz w:val="26"/>
          <w:szCs w:val="26"/>
        </w:rPr>
        <mc:AlternateContent>
          <mc:Choice Requires="wps">
            <w:drawing>
              <wp:anchor distT="0" distB="0" distL="114300" distR="114300" simplePos="0" relativeHeight="251660288" behindDoc="0" locked="0" layoutInCell="1" allowOverlap="1" wp14:anchorId="1CF34456" wp14:editId="3B914E51">
                <wp:simplePos x="0" y="0"/>
                <wp:positionH relativeFrom="column">
                  <wp:posOffset>4259580</wp:posOffset>
                </wp:positionH>
                <wp:positionV relativeFrom="paragraph">
                  <wp:posOffset>159385</wp:posOffset>
                </wp:positionV>
                <wp:extent cx="2540000" cy="12700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540000" cy="127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666B2" w:rsidRPr="006666B2" w:rsidRDefault="006666B2" w:rsidP="006666B2">
                            <w:pPr>
                              <w:jc w:val="center"/>
                              <w:rPr>
                                <w:rFonts w:ascii="Arial" w:hAnsi="Arial" w:cs="Arial"/>
                                <w:sz w:val="14"/>
                              </w:rPr>
                            </w:pPr>
                            <w:r w:rsidRPr="006666B2">
                              <w:rPr>
                                <w:rFonts w:ascii="Arial" w:hAnsi="Arial" w:cs="Arial"/>
                                <w:sz w:val="14"/>
                              </w:rPr>
                              <w:t>United States Court of Appeals</w:t>
                            </w:r>
                          </w:p>
                          <w:p w:rsidR="006666B2" w:rsidRPr="006666B2" w:rsidRDefault="006666B2" w:rsidP="006666B2">
                            <w:pPr>
                              <w:jc w:val="center"/>
                              <w:rPr>
                                <w:rFonts w:ascii="Arial" w:hAnsi="Arial" w:cs="Arial"/>
                                <w:sz w:val="14"/>
                              </w:rPr>
                            </w:pPr>
                            <w:r w:rsidRPr="006666B2">
                              <w:rPr>
                                <w:rFonts w:ascii="Arial" w:hAnsi="Arial" w:cs="Arial"/>
                                <w:sz w:val="14"/>
                              </w:rPr>
                              <w:t>Fifth Circuit</w:t>
                            </w:r>
                          </w:p>
                          <w:p w:rsidR="006666B2" w:rsidRPr="006666B2" w:rsidRDefault="006666B2" w:rsidP="006666B2">
                            <w:pPr>
                              <w:jc w:val="center"/>
                              <w:rPr>
                                <w:rFonts w:ascii="Arial" w:hAnsi="Arial" w:cs="Arial"/>
                                <w:b/>
                                <w:sz w:val="32"/>
                              </w:rPr>
                            </w:pPr>
                            <w:r w:rsidRPr="006666B2">
                              <w:rPr>
                                <w:rFonts w:ascii="Arial" w:hAnsi="Arial" w:cs="Arial"/>
                                <w:b/>
                                <w:sz w:val="32"/>
                              </w:rPr>
                              <w:t>FILED</w:t>
                            </w:r>
                          </w:p>
                          <w:p w:rsidR="006666B2" w:rsidRPr="006666B2" w:rsidRDefault="006666B2" w:rsidP="006666B2">
                            <w:pPr>
                              <w:jc w:val="center"/>
                              <w:rPr>
                                <w:rFonts w:ascii="Arial" w:hAnsi="Arial" w:cs="Arial"/>
                              </w:rPr>
                            </w:pPr>
                            <w:r w:rsidRPr="006666B2">
                              <w:rPr>
                                <w:rFonts w:ascii="Arial" w:hAnsi="Arial" w:cs="Arial"/>
                              </w:rPr>
                              <w:t>December 6, 2013</w:t>
                            </w:r>
                          </w:p>
                          <w:p w:rsidR="006666B2" w:rsidRPr="006666B2" w:rsidRDefault="006666B2" w:rsidP="006666B2">
                            <w:pPr>
                              <w:jc w:val="center"/>
                              <w:rPr>
                                <w:rFonts w:ascii="Arial" w:hAnsi="Arial" w:cs="Arial"/>
                                <w:sz w:val="14"/>
                              </w:rPr>
                            </w:pPr>
                          </w:p>
                          <w:p w:rsidR="006666B2" w:rsidRPr="006666B2" w:rsidRDefault="006666B2" w:rsidP="006666B2">
                            <w:pPr>
                              <w:jc w:val="center"/>
                              <w:rPr>
                                <w:rFonts w:ascii="Arial" w:hAnsi="Arial" w:cs="Arial"/>
                              </w:rPr>
                            </w:pPr>
                            <w:r w:rsidRPr="006666B2">
                              <w:rPr>
                                <w:rFonts w:ascii="Arial" w:hAnsi="Arial" w:cs="Arial"/>
                              </w:rPr>
                              <w:t>Lyle W. Cayce</w:t>
                            </w:r>
                          </w:p>
                          <w:p w:rsidR="006666B2" w:rsidRPr="006666B2" w:rsidRDefault="006666B2" w:rsidP="006666B2">
                            <w:pPr>
                              <w:jc w:val="center"/>
                              <w:rPr>
                                <w:rFonts w:ascii="Arial" w:hAnsi="Arial" w:cs="Arial"/>
                              </w:rPr>
                            </w:pPr>
                            <w:r w:rsidRPr="006666B2">
                              <w:rPr>
                                <w:rFonts w:ascii="Arial" w:hAnsi="Arial" w:cs="Arial"/>
                              </w:rPr>
                              <w:t>Clerk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F34456" id="_x0000_t202" coordsize="21600,21600" o:spt="202" path="m,l,21600r21600,l21600,xe">
                <v:stroke joinstyle="miter"/>
                <v:path gradientshapeok="t" o:connecttype="rect"/>
              </v:shapetype>
              <v:shape id="Text Box 5" o:spid="_x0000_s1026" type="#_x0000_t202" style="position:absolute;left:0;text-align:left;margin-left:335.4pt;margin-top:12.55pt;width:200pt;height:1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" filled="f" stroked="f" strokeweight=".5pt">
                <v:fill o:detectmouseclick="t"/>
                <v:textbox>
                  <w:txbxContent>
                    <w:p w:rsidR="006666B2" w:rsidRPr="006666B2" w:rsidRDefault="006666B2" w:rsidP="006666B2">
                      <w:pPr>
                        <w:jc w:val="center"/>
                        <w:rPr>
                          <w:rFonts w:ascii="Arial" w:hAnsi="Arial" w:cs="Arial"/>
                          <w:sz w:val="14"/>
                        </w:rPr>
                      </w:pPr>
                      <w:r w:rsidRPr="006666B2">
                        <w:rPr>
                          <w:rFonts w:ascii="Arial" w:hAnsi="Arial" w:cs="Arial"/>
                          <w:sz w:val="14"/>
                        </w:rPr>
                        <w:t>United States Court of Appeals</w:t>
                      </w:r>
                    </w:p>
                    <w:p w:rsidR="006666B2" w:rsidRPr="006666B2" w:rsidRDefault="006666B2" w:rsidP="006666B2">
                      <w:pPr>
                        <w:jc w:val="center"/>
                        <w:rPr>
                          <w:rFonts w:ascii="Arial" w:hAnsi="Arial" w:cs="Arial"/>
                          <w:sz w:val="14"/>
                        </w:rPr>
                      </w:pPr>
                      <w:r w:rsidRPr="006666B2">
                        <w:rPr>
                          <w:rFonts w:ascii="Arial" w:hAnsi="Arial" w:cs="Arial"/>
                          <w:sz w:val="14"/>
                        </w:rPr>
                        <w:t>Fifth Circuit</w:t>
                      </w:r>
                    </w:p>
                    <w:p w:rsidR="006666B2" w:rsidRPr="006666B2" w:rsidRDefault="006666B2" w:rsidP="006666B2">
                      <w:pPr>
                        <w:jc w:val="center"/>
                        <w:rPr>
                          <w:rFonts w:ascii="Arial" w:hAnsi="Arial" w:cs="Arial"/>
                          <w:b/>
                          <w:sz w:val="32"/>
                        </w:rPr>
                      </w:pPr>
                      <w:r w:rsidRPr="006666B2">
                        <w:rPr>
                          <w:rFonts w:ascii="Arial" w:hAnsi="Arial" w:cs="Arial"/>
                          <w:b/>
                          <w:sz w:val="32"/>
                        </w:rPr>
                        <w:t>FILED</w:t>
                      </w:r>
                    </w:p>
                    <w:p w:rsidR="006666B2" w:rsidRPr="006666B2" w:rsidRDefault="006666B2" w:rsidP="006666B2">
                      <w:pPr>
                        <w:jc w:val="center"/>
                        <w:rPr>
                          <w:rFonts w:ascii="Arial" w:hAnsi="Arial" w:cs="Arial"/>
                        </w:rPr>
                      </w:pPr>
                      <w:r w:rsidRPr="006666B2">
                        <w:rPr>
                          <w:rFonts w:ascii="Arial" w:hAnsi="Arial" w:cs="Arial"/>
                        </w:rPr>
                        <w:t>December 6, 2013</w:t>
                      </w:r>
                    </w:p>
                    <w:p w:rsidR="006666B2" w:rsidRPr="006666B2" w:rsidRDefault="006666B2" w:rsidP="006666B2">
                      <w:pPr>
                        <w:jc w:val="center"/>
                        <w:rPr>
                          <w:rFonts w:ascii="Arial" w:hAnsi="Arial" w:cs="Arial"/>
                          <w:sz w:val="14"/>
                        </w:rPr>
                      </w:pPr>
                    </w:p>
                    <w:p w:rsidR="006666B2" w:rsidRPr="006666B2" w:rsidRDefault="006666B2" w:rsidP="006666B2">
                      <w:pPr>
                        <w:jc w:val="center"/>
                        <w:rPr>
                          <w:rFonts w:ascii="Arial" w:hAnsi="Arial" w:cs="Arial"/>
                        </w:rPr>
                      </w:pPr>
                      <w:r w:rsidRPr="006666B2">
                        <w:rPr>
                          <w:rFonts w:ascii="Arial" w:hAnsi="Arial" w:cs="Arial"/>
                        </w:rPr>
                        <w:t>Lyle W. Cayce</w:t>
                      </w:r>
                    </w:p>
                    <w:p w:rsidR="006666B2" w:rsidRPr="006666B2" w:rsidRDefault="006666B2" w:rsidP="006666B2">
                      <w:pPr>
                        <w:jc w:val="center"/>
                        <w:rPr>
                          <w:rFonts w:ascii="Arial" w:hAnsi="Arial" w:cs="Arial"/>
                        </w:rPr>
                      </w:pPr>
                      <w:r w:rsidRPr="006666B2">
                        <w:rPr>
                          <w:rFonts w:ascii="Arial" w:hAnsi="Arial" w:cs="Arial"/>
                        </w:rPr>
                        <w:t>Clerk</w:t>
                      </w:r>
                    </w:p>
                  </w:txbxContent>
                </v:textbox>
              </v:shape>
            </w:pict>
          </mc:Fallback>
        </mc:AlternateContent>
      </w:r>
      <w:r w:rsidR="0072498F" w:rsidRPr="00AA35D5">
        <w:rPr>
          <w:rFonts w:ascii="Century Schoolbook" w:eastAsia="PMingLiU" w:hAnsi="Century Schoolbook" w:cs="PMingLiU"/>
          <w:b/>
          <w:bCs/>
          <w:sz w:val="30"/>
          <w:szCs w:val="30"/>
        </w:rPr>
        <w:t>FOR THE FIFTH CIRCUIT</w:t>
      </w:r>
    </w:p>
    <w:p w:rsidR="0072498F" w:rsidRPr="00AA35D5" w:rsidRDefault="0072498F">
      <w:pPr>
        <w:widowControl/>
        <w:jc w:val="center"/>
        <w:rPr>
          <w:rFonts w:ascii="Century Schoolbook" w:eastAsia="PMingLiU" w:hAnsi="Century Schoolbook" w:cs="PMingLiU"/>
          <w:sz w:val="26"/>
          <w:szCs w:val="26"/>
        </w:rPr>
      </w:pPr>
    </w:p>
    <w:p w:rsidR="0072498F" w:rsidRPr="00AA35D5" w:rsidRDefault="0072498F">
      <w:pPr>
        <w:widowControl/>
        <w:jc w:val="center"/>
        <w:rPr>
          <w:rFonts w:ascii="Century Schoolbook" w:eastAsia="PMingLiU" w:hAnsi="Century Schoolbook" w:cs="PMingLiU"/>
          <w:sz w:val="26"/>
          <w:szCs w:val="26"/>
        </w:rPr>
      </w:pPr>
    </w:p>
    <w:p w:rsidR="0072498F" w:rsidRPr="00AA35D5" w:rsidRDefault="00AA35D5">
      <w:pPr>
        <w:widowControl/>
        <w:spacing w:line="19" w:lineRule="exact"/>
        <w:jc w:val="center"/>
        <w:rPr>
          <w:rFonts w:ascii="Century Schoolbook" w:eastAsia="PMingLiU" w:hAnsi="Century Schoolbook" w:cs="PMingLiU"/>
          <w:sz w:val="26"/>
          <w:szCs w:val="26"/>
        </w:rPr>
      </w:pPr>
      <w:r w:rsidRPr="00AA35D5">
        <w:rPr>
          <w:rFonts w:ascii="Century Schoolbook" w:hAnsi="Century Schoolbook"/>
          <w:noProof/>
        </w:rPr>
        <mc:AlternateContent>
          <mc:Choice Requires="wps">
            <w:drawing>
              <wp:anchor distT="0" distB="0" distL="114300" distR="114300" simplePos="0" relativeHeight="251656192" behindDoc="1" locked="1" layoutInCell="0" allowOverlap="1" wp14:anchorId="0BD4E4D1" wp14:editId="015AD450">
                <wp:simplePos x="0" y="0"/>
                <wp:positionH relativeFrom="page">
                  <wp:posOffset>3429000</wp:posOffset>
                </wp:positionH>
                <wp:positionV relativeFrom="paragraph">
                  <wp:posOffset>0</wp:posOffset>
                </wp:positionV>
                <wp:extent cx="9144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61D2F" id="Rectangle 2" o:spid="_x0000_s1026" style="position:absolute;margin-left:270pt;margin-top:0;width:1in;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" o:allowincell="f" fillcolor="black" stroked="f" strokeweight="0">
                <w10:wrap anchorx="page"/>
                <w10:anchorlock/>
              </v:rect>
            </w:pict>
          </mc:Fallback>
        </mc:AlternateContent>
      </w:r>
    </w:p>
    <w:p w:rsidR="0072498F" w:rsidRPr="00AA35D5" w:rsidRDefault="0072498F">
      <w:pPr>
        <w:widowControl/>
        <w:jc w:val="center"/>
        <w:rPr>
          <w:rFonts w:ascii="Century Schoolbook" w:eastAsia="PMingLiU" w:hAnsi="Century Schoolbook" w:cs="PMingLiU"/>
          <w:sz w:val="26"/>
          <w:szCs w:val="26"/>
        </w:rPr>
      </w:pPr>
    </w:p>
    <w:p w:rsidR="0072498F" w:rsidRPr="00AA35D5" w:rsidRDefault="0072498F">
      <w:pPr>
        <w:widowControl/>
        <w:jc w:val="center"/>
        <w:rPr>
          <w:rFonts w:ascii="Century Schoolbook" w:eastAsia="PMingLiU" w:hAnsi="Century Schoolbook" w:cs="PMingLiU"/>
          <w:sz w:val="26"/>
          <w:szCs w:val="26"/>
        </w:rPr>
      </w:pPr>
      <w:r w:rsidRPr="00AA35D5">
        <w:rPr>
          <w:rFonts w:ascii="Century Schoolbook" w:eastAsia="PMingLiU" w:hAnsi="Century Schoolbook" w:cs="PMingLiU"/>
          <w:sz w:val="26"/>
          <w:szCs w:val="26"/>
        </w:rPr>
        <w:t xml:space="preserve">No. </w:t>
      </w:r>
      <w:bookmarkStart w:id="0" w:name="a2"/>
      <w:r w:rsidR="008142F6">
        <w:rPr>
          <w:rFonts w:ascii="Century Schoolbook" w:eastAsia="PMingLiU" w:hAnsi="Century Schoolbook" w:cs="PMingLiU"/>
          <w:sz w:val="26"/>
          <w:szCs w:val="26"/>
        </w:rPr>
        <w:t>12</w:t>
      </w:r>
      <w:r w:rsidRPr="00AA35D5">
        <w:rPr>
          <w:rFonts w:ascii="Century Schoolbook" w:eastAsia="PMingLiU" w:hAnsi="Century Schoolbook" w:cs="PMingLiU"/>
          <w:sz w:val="26"/>
          <w:szCs w:val="26"/>
        </w:rPr>
        <w:t>-</w:t>
      </w:r>
      <w:bookmarkEnd w:id="0"/>
      <w:r w:rsidR="0090761F">
        <w:rPr>
          <w:rFonts w:ascii="Century Schoolbook" w:eastAsia="PMingLiU" w:hAnsi="Century Schoolbook" w:cs="PMingLiU"/>
          <w:sz w:val="26"/>
          <w:szCs w:val="26"/>
        </w:rPr>
        <w:t>30399</w:t>
      </w:r>
    </w:p>
    <w:p w:rsidR="0072498F" w:rsidRPr="00AA35D5" w:rsidRDefault="0072498F">
      <w:pPr>
        <w:widowControl/>
        <w:jc w:val="center"/>
        <w:rPr>
          <w:rFonts w:ascii="Century Schoolbook" w:eastAsia="PMingLiU" w:hAnsi="Century Schoolbook" w:cs="PMingLiU"/>
          <w:sz w:val="26"/>
          <w:szCs w:val="26"/>
        </w:rPr>
      </w:pPr>
    </w:p>
    <w:p w:rsidR="0072498F" w:rsidRPr="00AA35D5" w:rsidRDefault="00AA35D5">
      <w:pPr>
        <w:widowControl/>
        <w:spacing w:line="19" w:lineRule="exact"/>
        <w:jc w:val="center"/>
        <w:rPr>
          <w:rFonts w:ascii="Century Schoolbook" w:eastAsia="PMingLiU" w:hAnsi="Century Schoolbook" w:cs="PMingLiU"/>
          <w:sz w:val="26"/>
          <w:szCs w:val="26"/>
        </w:rPr>
      </w:pPr>
      <w:r w:rsidRPr="00AA35D5">
        <w:rPr>
          <w:rFonts w:ascii="Century Schoolbook" w:hAnsi="Century Schoolbook"/>
          <w:noProof/>
        </w:rPr>
        <mc:AlternateContent>
          <mc:Choice Requires="wps">
            <w:drawing>
              <wp:anchor distT="0" distB="0" distL="114300" distR="114300" simplePos="0" relativeHeight="251657216" behindDoc="1" locked="1" layoutInCell="0" allowOverlap="1">
                <wp:simplePos x="0" y="0"/>
                <wp:positionH relativeFrom="page">
                  <wp:posOffset>3429000</wp:posOffset>
                </wp:positionH>
                <wp:positionV relativeFrom="paragraph">
                  <wp:posOffset>0</wp:posOffset>
                </wp:positionV>
                <wp:extent cx="91440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E6048" id="Rectangle 3" o:spid="_x0000_s1026" style="position:absolute;margin-left:270pt;margin-top:0;width:1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" o:allowincell="f" fillcolor="black" stroked="f" strokeweight="0">
                <w10:wrap anchorx="page"/>
                <w10:anchorlock/>
              </v:rect>
            </w:pict>
          </mc:Fallback>
        </mc:AlternateContent>
      </w:r>
    </w:p>
    <w:p w:rsidR="0072498F" w:rsidRPr="00AA35D5" w:rsidRDefault="0072498F">
      <w:pPr>
        <w:widowControl/>
        <w:jc w:val="center"/>
        <w:rPr>
          <w:rFonts w:ascii="Century Schoolbook" w:eastAsia="PMingLiU" w:hAnsi="Century Schoolbook" w:cs="PMingLiU"/>
          <w:sz w:val="26"/>
          <w:szCs w:val="26"/>
        </w:rPr>
      </w:pPr>
    </w:p>
    <w:p w:rsidR="0072498F" w:rsidRPr="00AA35D5" w:rsidRDefault="0090761F">
      <w:pPr>
        <w:widowControl/>
        <w:rPr>
          <w:rFonts w:ascii="Century Schoolbook" w:eastAsia="PMingLiU" w:hAnsi="Century Schoolbook" w:cs="PMingLiU"/>
          <w:sz w:val="26"/>
          <w:szCs w:val="26"/>
        </w:rPr>
      </w:pPr>
      <w:bookmarkStart w:id="1" w:name="a3"/>
      <w:r>
        <w:rPr>
          <w:rFonts w:ascii="Century Schoolbook" w:eastAsia="PMingLiU" w:hAnsi="Century Schoolbook" w:cs="PMingLiU"/>
          <w:sz w:val="26"/>
          <w:szCs w:val="26"/>
        </w:rPr>
        <w:t>MARK HANNA</w:t>
      </w:r>
      <w:r w:rsidR="0072498F" w:rsidRPr="00AA35D5">
        <w:rPr>
          <w:rFonts w:ascii="Century Schoolbook" w:eastAsia="PMingLiU" w:hAnsi="Century Schoolbook" w:cs="PMingLiU"/>
          <w:sz w:val="26"/>
          <w:szCs w:val="26"/>
        </w:rPr>
        <w:t>,</w:t>
      </w:r>
      <w:bookmarkEnd w:id="1"/>
    </w:p>
    <w:p w:rsidR="0072498F" w:rsidRPr="00AA35D5" w:rsidRDefault="0072498F">
      <w:pPr>
        <w:widowControl/>
        <w:rPr>
          <w:rFonts w:ascii="Century Schoolbook" w:eastAsia="PMingLiU" w:hAnsi="Century Schoolbook" w:cs="PMingLiU"/>
          <w:sz w:val="26"/>
          <w:szCs w:val="26"/>
        </w:rPr>
      </w:pPr>
    </w:p>
    <w:p w:rsidR="0072498F" w:rsidRPr="00AA35D5" w:rsidRDefault="0072498F">
      <w:pPr>
        <w:widowControl/>
        <w:ind w:firstLine="5040"/>
        <w:rPr>
          <w:rFonts w:ascii="Century Schoolbook" w:eastAsia="PMingLiU" w:hAnsi="Century Schoolbook" w:cs="PMingLiU"/>
          <w:sz w:val="26"/>
          <w:szCs w:val="26"/>
        </w:rPr>
      </w:pPr>
      <w:bookmarkStart w:id="2" w:name="a4"/>
      <w:r w:rsidRPr="00AA35D5">
        <w:rPr>
          <w:rFonts w:ascii="Century Schoolbook" w:eastAsia="PMingLiU" w:hAnsi="Century Schoolbook" w:cs="PMingLiU"/>
          <w:sz w:val="26"/>
          <w:szCs w:val="26"/>
        </w:rPr>
        <w:t>Plaintiff-Appellant,</w:t>
      </w:r>
      <w:bookmarkEnd w:id="2"/>
    </w:p>
    <w:p w:rsidR="0072498F" w:rsidRPr="00AA35D5" w:rsidRDefault="0072498F">
      <w:pPr>
        <w:widowControl/>
        <w:rPr>
          <w:rFonts w:ascii="Century Schoolbook" w:eastAsia="PMingLiU" w:hAnsi="Century Schoolbook" w:cs="PMingLiU"/>
          <w:sz w:val="26"/>
          <w:szCs w:val="26"/>
        </w:rPr>
      </w:pPr>
      <w:proofErr w:type="gramStart"/>
      <w:r w:rsidRPr="00AA35D5">
        <w:rPr>
          <w:rFonts w:ascii="Century Schoolbook" w:eastAsia="PMingLiU" w:hAnsi="Century Schoolbook" w:cs="PMingLiU"/>
          <w:sz w:val="26"/>
          <w:szCs w:val="26"/>
        </w:rPr>
        <w:t>v</w:t>
      </w:r>
      <w:proofErr w:type="gramEnd"/>
      <w:r w:rsidRPr="00AA35D5">
        <w:rPr>
          <w:rFonts w:ascii="Century Schoolbook" w:eastAsia="PMingLiU" w:hAnsi="Century Schoolbook" w:cs="PMingLiU"/>
          <w:sz w:val="26"/>
          <w:szCs w:val="26"/>
        </w:rPr>
        <w:t>.</w:t>
      </w:r>
    </w:p>
    <w:p w:rsidR="0072498F" w:rsidRPr="00AA35D5" w:rsidRDefault="0072498F">
      <w:pPr>
        <w:widowControl/>
        <w:rPr>
          <w:rFonts w:ascii="Century Schoolbook" w:eastAsia="PMingLiU" w:hAnsi="Century Schoolbook" w:cs="PMingLiU"/>
          <w:sz w:val="26"/>
          <w:szCs w:val="26"/>
        </w:rPr>
      </w:pPr>
    </w:p>
    <w:p w:rsidR="0072498F" w:rsidRPr="00AA35D5" w:rsidRDefault="00011E10">
      <w:pPr>
        <w:widowControl/>
        <w:rPr>
          <w:rFonts w:ascii="Century Schoolbook" w:eastAsia="PMingLiU" w:hAnsi="Century Schoolbook" w:cs="PMingLiU"/>
          <w:sz w:val="26"/>
          <w:szCs w:val="26"/>
        </w:rPr>
      </w:pPr>
      <w:bookmarkStart w:id="3" w:name="a5"/>
      <w:proofErr w:type="spellStart"/>
      <w:r>
        <w:rPr>
          <w:rFonts w:ascii="Century Schoolbook" w:eastAsia="PMingLiU" w:hAnsi="Century Schoolbook" w:cs="PMingLiU"/>
          <w:sz w:val="26"/>
          <w:szCs w:val="26"/>
        </w:rPr>
        <w:t>DELME</w:t>
      </w:r>
      <w:r w:rsidR="0090761F">
        <w:rPr>
          <w:rFonts w:ascii="Century Schoolbook" w:eastAsia="PMingLiU" w:hAnsi="Century Schoolbook" w:cs="PMingLiU"/>
          <w:sz w:val="26"/>
          <w:szCs w:val="26"/>
        </w:rPr>
        <w:t>R</w:t>
      </w:r>
      <w:proofErr w:type="spellEnd"/>
      <w:r w:rsidR="0090761F">
        <w:rPr>
          <w:rFonts w:ascii="Century Schoolbook" w:eastAsia="PMingLiU" w:hAnsi="Century Schoolbook" w:cs="PMingLiU"/>
          <w:sz w:val="26"/>
          <w:szCs w:val="26"/>
        </w:rPr>
        <w:t xml:space="preserve"> MAXWELL, JANE WOMACK, TIM </w:t>
      </w:r>
      <w:r w:rsidR="00D644DD">
        <w:rPr>
          <w:rFonts w:ascii="Century Schoolbook" w:eastAsia="PMingLiU" w:hAnsi="Century Schoolbook" w:cs="PMingLiU"/>
          <w:sz w:val="26"/>
          <w:szCs w:val="26"/>
        </w:rPr>
        <w:t>W</w:t>
      </w:r>
      <w:r w:rsidR="0090761F">
        <w:rPr>
          <w:rFonts w:ascii="Century Schoolbook" w:eastAsia="PMingLiU" w:hAnsi="Century Schoolbook" w:cs="PMingLiU"/>
          <w:sz w:val="26"/>
          <w:szCs w:val="26"/>
        </w:rPr>
        <w:t>ILKINSON,</w:t>
      </w:r>
      <w:r w:rsidR="00331632">
        <w:rPr>
          <w:rFonts w:ascii="Century Schoolbook" w:eastAsia="PMingLiU" w:hAnsi="Century Schoolbook" w:cs="PMingLiU"/>
          <w:sz w:val="26"/>
          <w:szCs w:val="26"/>
        </w:rPr>
        <w:t xml:space="preserve"> TODD THOMAS,</w:t>
      </w:r>
      <w:r w:rsidR="0090761F">
        <w:rPr>
          <w:rFonts w:ascii="Century Schoolbook" w:eastAsia="PMingLiU" w:hAnsi="Century Schoolbook" w:cs="PMingLiU"/>
          <w:sz w:val="26"/>
          <w:szCs w:val="26"/>
        </w:rPr>
        <w:t xml:space="preserve"> MONA </w:t>
      </w:r>
      <w:proofErr w:type="spellStart"/>
      <w:r w:rsidR="0090761F">
        <w:rPr>
          <w:rFonts w:ascii="Century Schoolbook" w:eastAsia="PMingLiU" w:hAnsi="Century Schoolbook" w:cs="PMingLiU"/>
          <w:sz w:val="26"/>
          <w:szCs w:val="26"/>
        </w:rPr>
        <w:t>HYSE</w:t>
      </w:r>
      <w:proofErr w:type="spellEnd"/>
      <w:r w:rsidR="0090761F">
        <w:rPr>
          <w:rFonts w:ascii="Century Schoolbook" w:eastAsia="PMingLiU" w:hAnsi="Century Schoolbook" w:cs="PMingLiU"/>
          <w:sz w:val="26"/>
          <w:szCs w:val="26"/>
        </w:rPr>
        <w:t xml:space="preserve">, LIONEL </w:t>
      </w:r>
      <w:proofErr w:type="spellStart"/>
      <w:r w:rsidR="0090761F">
        <w:rPr>
          <w:rFonts w:ascii="Century Schoolbook" w:eastAsia="PMingLiU" w:hAnsi="Century Schoolbook" w:cs="PMingLiU"/>
          <w:sz w:val="26"/>
          <w:szCs w:val="26"/>
        </w:rPr>
        <w:t>TELSEE</w:t>
      </w:r>
      <w:proofErr w:type="spellEnd"/>
      <w:r w:rsidR="0090761F">
        <w:rPr>
          <w:rFonts w:ascii="Century Schoolbook" w:eastAsia="PMingLiU" w:hAnsi="Century Schoolbook" w:cs="PMingLiU"/>
          <w:sz w:val="26"/>
          <w:szCs w:val="26"/>
        </w:rPr>
        <w:t xml:space="preserve">, RICHARD </w:t>
      </w:r>
      <w:proofErr w:type="spellStart"/>
      <w:r w:rsidR="0090761F">
        <w:rPr>
          <w:rFonts w:ascii="Century Schoolbook" w:eastAsia="PMingLiU" w:hAnsi="Century Schoolbook" w:cs="PMingLiU"/>
          <w:sz w:val="26"/>
          <w:szCs w:val="26"/>
        </w:rPr>
        <w:t>STA</w:t>
      </w:r>
      <w:r>
        <w:rPr>
          <w:rFonts w:ascii="Century Schoolbook" w:eastAsia="PMingLiU" w:hAnsi="Century Schoolbook" w:cs="PMingLiU"/>
          <w:sz w:val="26"/>
          <w:szCs w:val="26"/>
        </w:rPr>
        <w:t>LD</w:t>
      </w:r>
      <w:r w:rsidR="0090761F">
        <w:rPr>
          <w:rFonts w:ascii="Century Schoolbook" w:eastAsia="PMingLiU" w:hAnsi="Century Schoolbook" w:cs="PMingLiU"/>
          <w:sz w:val="26"/>
          <w:szCs w:val="26"/>
        </w:rPr>
        <w:t>ER</w:t>
      </w:r>
      <w:proofErr w:type="spellEnd"/>
      <w:r w:rsidR="0090761F">
        <w:rPr>
          <w:rFonts w:ascii="Century Schoolbook" w:eastAsia="PMingLiU" w:hAnsi="Century Schoolbook" w:cs="PMingLiU"/>
          <w:sz w:val="26"/>
          <w:szCs w:val="26"/>
        </w:rPr>
        <w:t>, LINDA RAMSEY</w:t>
      </w:r>
      <w:r w:rsidR="0072498F" w:rsidRPr="00AA35D5">
        <w:rPr>
          <w:rFonts w:ascii="Century Schoolbook" w:eastAsia="PMingLiU" w:hAnsi="Century Schoolbook" w:cs="PMingLiU"/>
          <w:sz w:val="26"/>
          <w:szCs w:val="26"/>
        </w:rPr>
        <w:t xml:space="preserve">, </w:t>
      </w:r>
      <w:bookmarkEnd w:id="3"/>
    </w:p>
    <w:p w:rsidR="0072498F" w:rsidRPr="00AA35D5" w:rsidRDefault="0072498F" w:rsidP="0090761F">
      <w:pPr>
        <w:widowControl/>
        <w:jc w:val="center"/>
        <w:rPr>
          <w:rFonts w:ascii="Century Schoolbook" w:eastAsia="PMingLiU" w:hAnsi="Century Schoolbook" w:cs="PMingLiU"/>
          <w:sz w:val="26"/>
          <w:szCs w:val="26"/>
        </w:rPr>
      </w:pPr>
    </w:p>
    <w:p w:rsidR="0072498F" w:rsidRPr="00AA35D5" w:rsidRDefault="0072498F">
      <w:pPr>
        <w:widowControl/>
        <w:ind w:firstLine="5040"/>
        <w:rPr>
          <w:rFonts w:ascii="Century Schoolbook" w:eastAsia="PMingLiU" w:hAnsi="Century Schoolbook" w:cs="PMingLiU"/>
          <w:sz w:val="26"/>
          <w:szCs w:val="26"/>
        </w:rPr>
      </w:pPr>
      <w:bookmarkStart w:id="4" w:name="a6"/>
      <w:r w:rsidRPr="00AA35D5">
        <w:rPr>
          <w:rFonts w:ascii="Century Schoolbook" w:eastAsia="PMingLiU" w:hAnsi="Century Schoolbook" w:cs="PMingLiU"/>
          <w:sz w:val="26"/>
          <w:szCs w:val="26"/>
        </w:rPr>
        <w:t>Defendants-Appellees.</w:t>
      </w:r>
      <w:bookmarkEnd w:id="4"/>
    </w:p>
    <w:p w:rsidR="0072498F" w:rsidRPr="00AA35D5" w:rsidRDefault="0072498F">
      <w:pPr>
        <w:widowControl/>
        <w:rPr>
          <w:rFonts w:ascii="Century Schoolbook" w:eastAsia="PMingLiU" w:hAnsi="Century Schoolbook" w:cs="PMingLiU"/>
          <w:sz w:val="26"/>
          <w:szCs w:val="26"/>
        </w:rPr>
      </w:pPr>
    </w:p>
    <w:p w:rsidR="0072498F" w:rsidRPr="00AA35D5" w:rsidRDefault="0072498F">
      <w:pPr>
        <w:widowControl/>
        <w:rPr>
          <w:rFonts w:ascii="Century Schoolbook" w:eastAsia="PMingLiU" w:hAnsi="Century Schoolbook" w:cs="PMingLiU"/>
          <w:sz w:val="26"/>
          <w:szCs w:val="26"/>
        </w:rPr>
      </w:pPr>
    </w:p>
    <w:p w:rsidR="0072498F" w:rsidRPr="00AA35D5" w:rsidRDefault="0072498F">
      <w:pPr>
        <w:widowControl/>
        <w:tabs>
          <w:tab w:val="center" w:pos="4680"/>
        </w:tabs>
        <w:rPr>
          <w:rFonts w:ascii="Century Schoolbook" w:eastAsia="PMingLiU" w:hAnsi="Century Schoolbook" w:cs="PMingLiU"/>
          <w:sz w:val="26"/>
          <w:szCs w:val="26"/>
        </w:rPr>
      </w:pPr>
      <w:r w:rsidRPr="00AA35D5">
        <w:rPr>
          <w:rFonts w:ascii="Century Schoolbook" w:eastAsia="PMingLiU" w:hAnsi="Century Schoolbook" w:cs="PMingLiU"/>
          <w:sz w:val="26"/>
          <w:szCs w:val="26"/>
        </w:rPr>
        <w:tab/>
      </w:r>
    </w:p>
    <w:p w:rsidR="0072498F" w:rsidRPr="00AA35D5" w:rsidRDefault="00AA35D5">
      <w:pPr>
        <w:widowControl/>
        <w:rPr>
          <w:rFonts w:ascii="Century Schoolbook" w:eastAsia="PMingLiU" w:hAnsi="Century Schoolbook" w:cs="PMingLiU"/>
          <w:sz w:val="26"/>
          <w:szCs w:val="26"/>
        </w:rPr>
      </w:pPr>
      <w:r w:rsidRPr="00AA35D5">
        <w:rPr>
          <w:rFonts w:ascii="Century Schoolbook" w:hAnsi="Century Schoolbook"/>
          <w:noProof/>
        </w:rPr>
        <mc:AlternateContent>
          <mc:Choice Requires="wps">
            <w:drawing>
              <wp:anchor distT="0" distB="0" distL="114300" distR="114300" simplePos="0" relativeHeight="251658240" behindDoc="1" locked="1" layoutInCell="0" allowOverlap="1">
                <wp:simplePos x="0" y="0"/>
                <wp:positionH relativeFrom="page">
                  <wp:posOffset>2971800</wp:posOffset>
                </wp:positionH>
                <wp:positionV relativeFrom="paragraph">
                  <wp:posOffset>0</wp:posOffset>
                </wp:positionV>
                <wp:extent cx="1828800" cy="120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88274" id="Rectangle 4" o:spid="_x0000_s1026" style="position:absolute;margin-left:234pt;margin-top:0;width:2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" o:allowincell="f" fillcolor="black" stroked="f" strokeweight="0">
                <w10:wrap anchorx="page"/>
                <w10:anchorlock/>
              </v:rect>
            </w:pict>
          </mc:Fallback>
        </mc:AlternateContent>
      </w:r>
    </w:p>
    <w:p w:rsidR="0072498F" w:rsidRPr="00AA35D5" w:rsidRDefault="0072498F">
      <w:pPr>
        <w:widowControl/>
        <w:jc w:val="center"/>
        <w:rPr>
          <w:rFonts w:ascii="Century Schoolbook" w:eastAsia="PMingLiU" w:hAnsi="Century Schoolbook" w:cs="PMingLiU"/>
          <w:sz w:val="26"/>
          <w:szCs w:val="26"/>
        </w:rPr>
      </w:pPr>
      <w:r w:rsidRPr="00AA35D5">
        <w:rPr>
          <w:rFonts w:ascii="Century Schoolbook" w:eastAsia="PMingLiU" w:hAnsi="Century Schoolbook" w:cs="PMingLiU"/>
          <w:sz w:val="26"/>
          <w:szCs w:val="26"/>
        </w:rPr>
        <w:t xml:space="preserve">Appeal from the United States </w:t>
      </w:r>
      <w:bookmarkStart w:id="5" w:name="a7"/>
      <w:r w:rsidRPr="00AA35D5">
        <w:rPr>
          <w:rFonts w:ascii="Century Schoolbook" w:eastAsia="PMingLiU" w:hAnsi="Century Schoolbook" w:cs="PMingLiU"/>
          <w:sz w:val="26"/>
          <w:szCs w:val="26"/>
        </w:rPr>
        <w:t xml:space="preserve">District Court </w:t>
      </w:r>
    </w:p>
    <w:p w:rsidR="0072498F" w:rsidRDefault="0072498F">
      <w:pPr>
        <w:widowControl/>
        <w:jc w:val="center"/>
        <w:rPr>
          <w:rFonts w:ascii="Century Schoolbook" w:eastAsia="PMingLiU" w:hAnsi="Century Schoolbook" w:cs="PMingLiU"/>
          <w:sz w:val="26"/>
          <w:szCs w:val="26"/>
        </w:rPr>
      </w:pPr>
      <w:proofErr w:type="gramStart"/>
      <w:r w:rsidRPr="00AA35D5">
        <w:rPr>
          <w:rFonts w:ascii="Century Schoolbook" w:eastAsia="PMingLiU" w:hAnsi="Century Schoolbook" w:cs="PMingLiU"/>
          <w:sz w:val="26"/>
          <w:szCs w:val="26"/>
        </w:rPr>
        <w:t>for</w:t>
      </w:r>
      <w:proofErr w:type="gramEnd"/>
      <w:r w:rsidRPr="00AA35D5">
        <w:rPr>
          <w:rFonts w:ascii="Century Schoolbook" w:eastAsia="PMingLiU" w:hAnsi="Century Schoolbook" w:cs="PMingLiU"/>
          <w:sz w:val="26"/>
          <w:szCs w:val="26"/>
        </w:rPr>
        <w:t xml:space="preserve"> the </w:t>
      </w:r>
      <w:r w:rsidR="0090761F">
        <w:rPr>
          <w:rFonts w:ascii="Century Schoolbook" w:eastAsia="PMingLiU" w:hAnsi="Century Schoolbook" w:cs="PMingLiU"/>
          <w:sz w:val="26"/>
          <w:szCs w:val="26"/>
        </w:rPr>
        <w:t>Western</w:t>
      </w:r>
      <w:r w:rsidRPr="00AA35D5">
        <w:rPr>
          <w:rFonts w:ascii="Century Schoolbook" w:eastAsia="PMingLiU" w:hAnsi="Century Schoolbook" w:cs="PMingLiU"/>
          <w:sz w:val="26"/>
          <w:szCs w:val="26"/>
        </w:rPr>
        <w:t xml:space="preserve"> District of Louisiana</w:t>
      </w:r>
      <w:bookmarkEnd w:id="5"/>
    </w:p>
    <w:p w:rsidR="00C22F7F" w:rsidRPr="00AA35D5" w:rsidRDefault="00C22F7F">
      <w:pPr>
        <w:widowControl/>
        <w:jc w:val="center"/>
        <w:rPr>
          <w:rFonts w:ascii="Century Schoolbook" w:eastAsia="PMingLiU" w:hAnsi="Century Schoolbook" w:cs="PMingLiU"/>
          <w:sz w:val="26"/>
          <w:szCs w:val="26"/>
        </w:rPr>
      </w:pPr>
      <w:r>
        <w:rPr>
          <w:rFonts w:ascii="Century Schoolbook" w:eastAsia="PMingLiU" w:hAnsi="Century Schoolbook" w:cs="PMingLiU"/>
          <w:sz w:val="26"/>
          <w:szCs w:val="26"/>
        </w:rPr>
        <w:t>USDC. No. 1:09-</w:t>
      </w:r>
      <w:r w:rsidR="00861651">
        <w:rPr>
          <w:rFonts w:ascii="Century Schoolbook" w:eastAsia="PMingLiU" w:hAnsi="Century Schoolbook" w:cs="PMingLiU"/>
          <w:sz w:val="26"/>
          <w:szCs w:val="26"/>
        </w:rPr>
        <w:t>CV</w:t>
      </w:r>
      <w:r>
        <w:rPr>
          <w:rFonts w:ascii="Century Schoolbook" w:eastAsia="PMingLiU" w:hAnsi="Century Schoolbook" w:cs="PMingLiU"/>
          <w:sz w:val="26"/>
          <w:szCs w:val="26"/>
        </w:rPr>
        <w:t>-1230</w:t>
      </w:r>
    </w:p>
    <w:p w:rsidR="0072498F" w:rsidRPr="00AA35D5" w:rsidRDefault="0072498F">
      <w:pPr>
        <w:widowControl/>
        <w:jc w:val="center"/>
        <w:rPr>
          <w:rFonts w:ascii="Century Schoolbook" w:eastAsia="PMingLiU" w:hAnsi="Century Schoolbook" w:cs="PMingLiU"/>
          <w:sz w:val="26"/>
          <w:szCs w:val="26"/>
        </w:rPr>
      </w:pPr>
    </w:p>
    <w:p w:rsidR="0072498F" w:rsidRPr="00AA35D5" w:rsidRDefault="00AA35D5">
      <w:pPr>
        <w:widowControl/>
        <w:spacing w:line="19" w:lineRule="exact"/>
        <w:jc w:val="center"/>
        <w:rPr>
          <w:rFonts w:ascii="Century Schoolbook" w:eastAsia="PMingLiU" w:hAnsi="Century Schoolbook" w:cs="PMingLiU"/>
          <w:sz w:val="26"/>
          <w:szCs w:val="26"/>
        </w:rPr>
      </w:pPr>
      <w:r w:rsidRPr="00AA35D5">
        <w:rPr>
          <w:rFonts w:ascii="Century Schoolbook" w:hAnsi="Century Schoolbook"/>
          <w:noProof/>
        </w:rPr>
        <mc:AlternateContent>
          <mc:Choice Requires="wps">
            <w:drawing>
              <wp:anchor distT="0" distB="0" distL="114300" distR="114300" simplePos="0" relativeHeight="251659264" behindDoc="1" locked="1" layoutInCell="0" allowOverlap="1">
                <wp:simplePos x="0" y="0"/>
                <wp:positionH relativeFrom="page">
                  <wp:posOffset>2971800</wp:posOffset>
                </wp:positionH>
                <wp:positionV relativeFrom="paragraph">
                  <wp:posOffset>0</wp:posOffset>
                </wp:positionV>
                <wp:extent cx="1828800" cy="1206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D6A8D" id="Rectangle 5" o:spid="_x0000_s1026" style="position:absolute;margin-left:234pt;margin-top:0;width:2in;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" o:allowincell="f" fillcolor="black" stroked="f" strokeweight="0">
                <w10:wrap anchorx="page"/>
                <w10:anchorlock/>
              </v:rect>
            </w:pict>
          </mc:Fallback>
        </mc:AlternateContent>
      </w:r>
    </w:p>
    <w:p w:rsidR="0072498F" w:rsidRPr="00AA35D5" w:rsidRDefault="0072498F">
      <w:pPr>
        <w:widowControl/>
        <w:jc w:val="center"/>
        <w:rPr>
          <w:rFonts w:ascii="Century Schoolbook" w:eastAsia="PMingLiU" w:hAnsi="Century Schoolbook" w:cs="PMingLiU"/>
          <w:sz w:val="26"/>
          <w:szCs w:val="26"/>
        </w:rPr>
      </w:pPr>
    </w:p>
    <w:p w:rsidR="0072498F" w:rsidRPr="00AA35D5" w:rsidRDefault="0072498F">
      <w:pPr>
        <w:widowControl/>
        <w:spacing w:line="360" w:lineRule="auto"/>
        <w:jc w:val="both"/>
        <w:rPr>
          <w:rFonts w:ascii="Century Schoolbook" w:eastAsia="PMingLiU" w:hAnsi="Century Schoolbook" w:cs="PMingLiU"/>
          <w:sz w:val="26"/>
          <w:szCs w:val="26"/>
        </w:rPr>
      </w:pPr>
      <w:r w:rsidRPr="00AA35D5">
        <w:rPr>
          <w:rFonts w:ascii="Century Schoolbook" w:eastAsia="PMingLiU" w:hAnsi="Century Schoolbook" w:cs="PMingLiU"/>
          <w:sz w:val="26"/>
          <w:szCs w:val="26"/>
        </w:rPr>
        <w:t xml:space="preserve">Before </w:t>
      </w:r>
      <w:bookmarkStart w:id="6" w:name="a8"/>
      <w:r w:rsidRPr="00AA35D5">
        <w:rPr>
          <w:rFonts w:ascii="Century Schoolbook" w:eastAsia="PMingLiU" w:hAnsi="Century Schoolbook" w:cs="PMingLiU"/>
          <w:sz w:val="26"/>
          <w:szCs w:val="26"/>
        </w:rPr>
        <w:t xml:space="preserve">DAVIS, </w:t>
      </w:r>
      <w:r w:rsidR="00716D04">
        <w:rPr>
          <w:rFonts w:ascii="Century Schoolbook" w:eastAsia="PMingLiU" w:hAnsi="Century Schoolbook" w:cs="PMingLiU"/>
          <w:sz w:val="26"/>
          <w:szCs w:val="26"/>
        </w:rPr>
        <w:t>GARZA</w:t>
      </w:r>
      <w:r w:rsidRPr="00AA35D5">
        <w:rPr>
          <w:rFonts w:ascii="Century Schoolbook" w:eastAsia="PMingLiU" w:hAnsi="Century Schoolbook" w:cs="PMingLiU"/>
          <w:sz w:val="26"/>
          <w:szCs w:val="26"/>
        </w:rPr>
        <w:t xml:space="preserve">, and </w:t>
      </w:r>
      <w:bookmarkEnd w:id="6"/>
      <w:r w:rsidR="00716D04">
        <w:rPr>
          <w:rFonts w:ascii="Century Schoolbook" w:eastAsia="PMingLiU" w:hAnsi="Century Schoolbook" w:cs="PMingLiU"/>
          <w:sz w:val="26"/>
          <w:szCs w:val="26"/>
        </w:rPr>
        <w:t>DENNIS</w:t>
      </w:r>
      <w:r w:rsidR="00C22F7F">
        <w:rPr>
          <w:rFonts w:ascii="Century Schoolbook" w:eastAsia="PMingLiU" w:hAnsi="Century Schoolbook" w:cs="PMingLiU"/>
          <w:sz w:val="26"/>
          <w:szCs w:val="26"/>
        </w:rPr>
        <w:t>, Circuit Judges.</w:t>
      </w:r>
    </w:p>
    <w:p w:rsidR="0072498F" w:rsidRPr="00AA35D5" w:rsidRDefault="0072498F">
      <w:pPr>
        <w:widowControl/>
        <w:spacing w:line="360" w:lineRule="auto"/>
        <w:jc w:val="both"/>
        <w:rPr>
          <w:rFonts w:ascii="Century Schoolbook" w:eastAsia="PMingLiU" w:hAnsi="Century Schoolbook" w:cs="PMingLiU"/>
          <w:sz w:val="26"/>
          <w:szCs w:val="26"/>
        </w:rPr>
      </w:pPr>
      <w:r w:rsidRPr="00AA35D5">
        <w:rPr>
          <w:rFonts w:ascii="Century Schoolbook" w:eastAsia="PMingLiU" w:hAnsi="Century Schoolbook" w:cs="PMingLiU"/>
          <w:sz w:val="26"/>
          <w:szCs w:val="26"/>
        </w:rPr>
        <w:t>PER CURIAM:</w:t>
      </w:r>
      <w:r w:rsidRPr="00AA35D5">
        <w:rPr>
          <w:rStyle w:val="FootnoteReference"/>
          <w:rFonts w:ascii="Century Schoolbook" w:eastAsia="PMingLiU" w:hAnsi="Century Schoolbook" w:cs="PMingLiU"/>
          <w:sz w:val="26"/>
          <w:szCs w:val="26"/>
        </w:rPr>
        <w:footnoteReference w:customMarkFollows="1" w:id="1"/>
        <w:t>*</w:t>
      </w:r>
    </w:p>
    <w:p w:rsidR="00E23B9B" w:rsidRDefault="00E23B9B" w:rsidP="00176D8F">
      <w:pPr>
        <w:widowControl/>
        <w:spacing w:line="360" w:lineRule="auto"/>
        <w:ind w:firstLine="720"/>
        <w:jc w:val="both"/>
        <w:rPr>
          <w:rFonts w:ascii="Century Schoolbook" w:eastAsia="PMingLiU" w:hAnsi="Century Schoolbook" w:cs="PMingLiU"/>
          <w:sz w:val="26"/>
          <w:szCs w:val="26"/>
        </w:rPr>
      </w:pPr>
      <w:r>
        <w:rPr>
          <w:rFonts w:ascii="Century Schoolbook" w:eastAsia="PMingLiU" w:hAnsi="Century Schoolbook" w:cs="PMingLiU"/>
          <w:sz w:val="26"/>
          <w:szCs w:val="26"/>
        </w:rPr>
        <w:t>Plaintiff Mark Hanna appeals from the dismissal of his</w:t>
      </w:r>
      <w:r w:rsidR="00A14F62">
        <w:rPr>
          <w:rFonts w:ascii="Century Schoolbook" w:eastAsia="PMingLiU" w:hAnsi="Century Schoolbook" w:cs="PMingLiU"/>
          <w:sz w:val="26"/>
          <w:szCs w:val="26"/>
        </w:rPr>
        <w:t xml:space="preserve"> retaliation claim under </w:t>
      </w:r>
      <w:r w:rsidR="00E27700">
        <w:rPr>
          <w:rFonts w:ascii="Century Schoolbook" w:eastAsia="PMingLiU" w:hAnsi="Century Schoolbook" w:cs="PMingLiU"/>
          <w:sz w:val="26"/>
          <w:szCs w:val="26"/>
        </w:rPr>
        <w:t>42</w:t>
      </w:r>
      <w:r w:rsidR="00A10B67">
        <w:rPr>
          <w:rFonts w:ascii="Century Schoolbook" w:eastAsia="PMingLiU" w:hAnsi="Century Schoolbook" w:cs="PMingLiU"/>
          <w:sz w:val="26"/>
          <w:szCs w:val="26"/>
        </w:rPr>
        <w:t xml:space="preserve"> </w:t>
      </w:r>
      <w:proofErr w:type="spellStart"/>
      <w:r w:rsidR="00A10B67">
        <w:rPr>
          <w:rFonts w:ascii="Century Schoolbook" w:eastAsia="PMingLiU" w:hAnsi="Century Schoolbook" w:cs="PMingLiU"/>
          <w:sz w:val="26"/>
          <w:szCs w:val="26"/>
        </w:rPr>
        <w:t>U.S.C</w:t>
      </w:r>
      <w:proofErr w:type="spellEnd"/>
      <w:r w:rsidR="00A10B67">
        <w:rPr>
          <w:rFonts w:ascii="Century Schoolbook" w:eastAsia="PMingLiU" w:hAnsi="Century Schoolbook" w:cs="PMingLiU"/>
          <w:sz w:val="26"/>
          <w:szCs w:val="26"/>
        </w:rPr>
        <w:t xml:space="preserve">. § 1983 </w:t>
      </w:r>
      <w:r w:rsidR="00333D39">
        <w:rPr>
          <w:rFonts w:ascii="Century Schoolbook" w:eastAsia="PMingLiU" w:hAnsi="Century Schoolbook" w:cs="PMingLiU"/>
          <w:sz w:val="26"/>
          <w:szCs w:val="26"/>
        </w:rPr>
        <w:t>as time barred under the one</w:t>
      </w:r>
      <w:r w:rsidR="005A1E35">
        <w:rPr>
          <w:rFonts w:ascii="Century Schoolbook" w:eastAsia="PMingLiU" w:hAnsi="Century Schoolbook" w:cs="PMingLiU"/>
          <w:sz w:val="26"/>
          <w:szCs w:val="26"/>
        </w:rPr>
        <w:t>-</w:t>
      </w:r>
      <w:r w:rsidR="00333D39">
        <w:rPr>
          <w:rFonts w:ascii="Century Schoolbook" w:eastAsia="PMingLiU" w:hAnsi="Century Schoolbook" w:cs="PMingLiU"/>
          <w:sz w:val="26"/>
          <w:szCs w:val="26"/>
        </w:rPr>
        <w:t>year statute of limitations applicable under Louisiana law</w:t>
      </w:r>
      <w:r w:rsidR="008D1DED">
        <w:rPr>
          <w:rFonts w:ascii="Century Schoolbook" w:eastAsia="PMingLiU" w:hAnsi="Century Schoolbook" w:cs="PMingLiU"/>
          <w:sz w:val="26"/>
          <w:szCs w:val="26"/>
        </w:rPr>
        <w:t>.</w:t>
      </w:r>
      <w:r w:rsidR="00640360">
        <w:rPr>
          <w:rFonts w:ascii="Century Schoolbook" w:eastAsia="PMingLiU" w:hAnsi="Century Schoolbook" w:cs="PMingLiU"/>
          <w:sz w:val="26"/>
          <w:szCs w:val="26"/>
        </w:rPr>
        <w:t xml:space="preserve">  For the reasons set forth below, we affirm.</w:t>
      </w:r>
    </w:p>
    <w:p w:rsidR="0072498F" w:rsidRPr="00AA35D5" w:rsidRDefault="0072498F">
      <w:pPr>
        <w:widowControl/>
        <w:spacing w:line="360" w:lineRule="auto"/>
        <w:ind w:firstLine="720"/>
        <w:jc w:val="both"/>
        <w:rPr>
          <w:rFonts w:ascii="Century Schoolbook" w:eastAsia="PMingLiU" w:hAnsi="Century Schoolbook" w:cs="PMingLiU"/>
          <w:sz w:val="26"/>
          <w:szCs w:val="26"/>
        </w:rPr>
        <w:sectPr w:rsidR="0072498F" w:rsidRPr="00AA35D5" w:rsidSect="00C51A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docGrid w:linePitch="326"/>
        </w:sectPr>
      </w:pPr>
    </w:p>
    <w:p w:rsidR="0072498F" w:rsidRPr="00AA35D5" w:rsidRDefault="0072498F" w:rsidP="00640360">
      <w:pPr>
        <w:widowControl/>
        <w:tabs>
          <w:tab w:val="center" w:pos="4680"/>
        </w:tabs>
        <w:spacing w:line="360" w:lineRule="auto"/>
        <w:jc w:val="center"/>
        <w:rPr>
          <w:rFonts w:ascii="Century Schoolbook" w:eastAsia="PMingLiU" w:hAnsi="Century Schoolbook" w:cs="PMingLiU"/>
          <w:sz w:val="26"/>
          <w:szCs w:val="26"/>
        </w:rPr>
      </w:pPr>
      <w:r w:rsidRPr="00AA35D5">
        <w:rPr>
          <w:rFonts w:ascii="Century Schoolbook" w:eastAsia="PMingLiU" w:hAnsi="Century Schoolbook" w:cs="PMingLiU"/>
          <w:sz w:val="26"/>
          <w:szCs w:val="26"/>
        </w:rPr>
        <w:lastRenderedPageBreak/>
        <w:t>I.</w:t>
      </w:r>
    </w:p>
    <w:p w:rsidR="00640360" w:rsidRPr="00640360" w:rsidRDefault="00640360" w:rsidP="00640360">
      <w:pPr>
        <w:widowControl/>
        <w:spacing w:line="360" w:lineRule="auto"/>
        <w:ind w:firstLine="720"/>
        <w:jc w:val="both"/>
        <w:rPr>
          <w:rFonts w:ascii="Century Schoolbook" w:eastAsia="PMingLiU" w:hAnsi="Century Schoolbook" w:cs="PMingLiU"/>
          <w:sz w:val="26"/>
          <w:szCs w:val="26"/>
        </w:rPr>
      </w:pPr>
      <w:r w:rsidRPr="00640360">
        <w:rPr>
          <w:rFonts w:ascii="Century Schoolbook" w:eastAsia="PMingLiU" w:hAnsi="Century Schoolbook" w:cs="PMingLiU"/>
          <w:sz w:val="26"/>
          <w:szCs w:val="26"/>
        </w:rPr>
        <w:t xml:space="preserve">In 2008, Mark Hanna, Louisiana prisoner # 132872, filed a </w:t>
      </w:r>
      <w:r w:rsidR="00E27700">
        <w:rPr>
          <w:rFonts w:ascii="Century Schoolbook" w:eastAsia="PMingLiU" w:hAnsi="Century Schoolbook" w:cs="PMingLiU"/>
          <w:sz w:val="26"/>
          <w:szCs w:val="26"/>
        </w:rPr>
        <w:t>42</w:t>
      </w:r>
      <w:r>
        <w:rPr>
          <w:rFonts w:ascii="Century Schoolbook" w:eastAsia="PMingLiU" w:hAnsi="Century Schoolbook" w:cs="PMingLiU"/>
          <w:sz w:val="26"/>
          <w:szCs w:val="26"/>
        </w:rPr>
        <w:t xml:space="preserve"> </w:t>
      </w:r>
      <w:proofErr w:type="spellStart"/>
      <w:r>
        <w:rPr>
          <w:rFonts w:ascii="Century Schoolbook" w:eastAsia="PMingLiU" w:hAnsi="Century Schoolbook" w:cs="PMingLiU"/>
          <w:sz w:val="26"/>
          <w:szCs w:val="26"/>
        </w:rPr>
        <w:t>U.S.C</w:t>
      </w:r>
      <w:proofErr w:type="spellEnd"/>
      <w:r>
        <w:rPr>
          <w:rFonts w:ascii="Century Schoolbook" w:eastAsia="PMingLiU" w:hAnsi="Century Schoolbook" w:cs="PMingLiU"/>
          <w:sz w:val="26"/>
          <w:szCs w:val="26"/>
        </w:rPr>
        <w:t>. § </w:t>
      </w:r>
      <w:r w:rsidRPr="00640360">
        <w:rPr>
          <w:rFonts w:ascii="Century Schoolbook" w:eastAsia="PMingLiU" w:hAnsi="Century Schoolbook" w:cs="PMingLiU"/>
          <w:sz w:val="26"/>
          <w:szCs w:val="26"/>
        </w:rPr>
        <w:t>1983 complaint against eight defendants, including corrections officers, wardens, and other officials with the Louisiana Department of Public Safety and Corrections (</w:t>
      </w:r>
      <w:proofErr w:type="spellStart"/>
      <w:r w:rsidRPr="00640360">
        <w:rPr>
          <w:rFonts w:ascii="Century Schoolbook" w:eastAsia="PMingLiU" w:hAnsi="Century Schoolbook" w:cs="PMingLiU"/>
          <w:sz w:val="26"/>
          <w:szCs w:val="26"/>
        </w:rPr>
        <w:t>LDOC</w:t>
      </w:r>
      <w:proofErr w:type="spellEnd"/>
      <w:r w:rsidRPr="00640360">
        <w:rPr>
          <w:rFonts w:ascii="Century Schoolbook" w:eastAsia="PMingLiU" w:hAnsi="Century Schoolbook" w:cs="PMingLiU"/>
          <w:sz w:val="26"/>
          <w:szCs w:val="26"/>
        </w:rPr>
        <w:t>).  He sought damages for various cl</w:t>
      </w:r>
      <w:r w:rsidR="00EA355E">
        <w:rPr>
          <w:rFonts w:ascii="Century Schoolbook" w:eastAsia="PMingLiU" w:hAnsi="Century Schoolbook" w:cs="PMingLiU"/>
          <w:sz w:val="26"/>
          <w:szCs w:val="26"/>
        </w:rPr>
        <w:t>aims, including allegations that</w:t>
      </w:r>
      <w:r w:rsidRPr="00640360">
        <w:rPr>
          <w:rFonts w:ascii="Century Schoolbook" w:eastAsia="PMingLiU" w:hAnsi="Century Schoolbook" w:cs="PMingLiU"/>
          <w:sz w:val="26"/>
          <w:szCs w:val="26"/>
        </w:rPr>
        <w:t xml:space="preserve">, during a 2003 disciplinary hearing, he was wrongfully convicted of defiance </w:t>
      </w:r>
      <w:r w:rsidR="00EA355E">
        <w:rPr>
          <w:rFonts w:ascii="Century Schoolbook" w:eastAsia="PMingLiU" w:hAnsi="Century Schoolbook" w:cs="PMingLiU"/>
          <w:sz w:val="26"/>
          <w:szCs w:val="26"/>
        </w:rPr>
        <w:t xml:space="preserve">in retaliation </w:t>
      </w:r>
      <w:r w:rsidRPr="00640360">
        <w:rPr>
          <w:rFonts w:ascii="Century Schoolbook" w:eastAsia="PMingLiU" w:hAnsi="Century Schoolbook" w:cs="PMingLiU"/>
          <w:sz w:val="26"/>
          <w:szCs w:val="26"/>
        </w:rPr>
        <w:t>for refusing a medical procedure and threatening to sue prison officials.  As a result of this</w:t>
      </w:r>
      <w:r w:rsidR="00AD35FD">
        <w:rPr>
          <w:rFonts w:ascii="Century Schoolbook" w:eastAsia="PMingLiU" w:hAnsi="Century Schoolbook" w:cs="PMingLiU"/>
          <w:sz w:val="26"/>
          <w:szCs w:val="26"/>
        </w:rPr>
        <w:t xml:space="preserve"> defiance</w:t>
      </w:r>
      <w:r w:rsidRPr="00640360">
        <w:rPr>
          <w:rFonts w:ascii="Century Schoolbook" w:eastAsia="PMingLiU" w:hAnsi="Century Schoolbook" w:cs="PMingLiU"/>
          <w:sz w:val="26"/>
          <w:szCs w:val="26"/>
        </w:rPr>
        <w:t xml:space="preserve"> conviction, Hanna served 10 days in isolation and forfeited 180 days of good time credit, which prolonged his sentence by 90 days</w:t>
      </w:r>
      <w:r>
        <w:rPr>
          <w:rFonts w:ascii="Century Schoolbook" w:eastAsia="PMingLiU" w:hAnsi="Century Schoolbook" w:cs="PMingLiU"/>
          <w:sz w:val="26"/>
          <w:szCs w:val="26"/>
        </w:rPr>
        <w:t>.</w:t>
      </w:r>
      <w:r w:rsidRPr="00640360">
        <w:rPr>
          <w:rFonts w:ascii="Century Schoolbook" w:eastAsia="PMingLiU" w:hAnsi="Century Schoolbook" w:cs="PMingLiU"/>
          <w:sz w:val="26"/>
          <w:szCs w:val="26"/>
        </w:rPr>
        <w:t xml:space="preserve">  His defiance conviction was later overturned </w:t>
      </w:r>
      <w:r>
        <w:rPr>
          <w:rFonts w:ascii="Century Schoolbook" w:eastAsia="PMingLiU" w:hAnsi="Century Schoolbook" w:cs="PMingLiU"/>
          <w:sz w:val="26"/>
          <w:szCs w:val="26"/>
        </w:rPr>
        <w:t>based on insufficient evidence.</w:t>
      </w:r>
    </w:p>
    <w:p w:rsidR="00640360" w:rsidRPr="00640360" w:rsidRDefault="00640360" w:rsidP="00640360">
      <w:pPr>
        <w:widowControl/>
        <w:spacing w:line="360" w:lineRule="auto"/>
        <w:ind w:firstLine="720"/>
        <w:jc w:val="both"/>
        <w:rPr>
          <w:rFonts w:ascii="Century Schoolbook" w:eastAsia="PMingLiU" w:hAnsi="Century Schoolbook" w:cs="PMingLiU"/>
          <w:sz w:val="26"/>
          <w:szCs w:val="26"/>
        </w:rPr>
      </w:pPr>
      <w:r w:rsidRPr="00640360">
        <w:rPr>
          <w:rFonts w:ascii="Century Schoolbook" w:eastAsia="PMingLiU" w:hAnsi="Century Schoolbook" w:cs="PMingLiU"/>
          <w:sz w:val="26"/>
          <w:szCs w:val="26"/>
        </w:rPr>
        <w:t xml:space="preserve">Before service of process on the defendants, the district court dismissed Hanna’s § 1983 action for failure to state a claim under 28 </w:t>
      </w:r>
      <w:proofErr w:type="spellStart"/>
      <w:r w:rsidRPr="00640360">
        <w:rPr>
          <w:rFonts w:ascii="Century Schoolbook" w:eastAsia="PMingLiU" w:hAnsi="Century Schoolbook" w:cs="PMingLiU"/>
          <w:sz w:val="26"/>
          <w:szCs w:val="26"/>
        </w:rPr>
        <w:t>U.S.C</w:t>
      </w:r>
      <w:proofErr w:type="spellEnd"/>
      <w:r w:rsidRPr="00640360">
        <w:rPr>
          <w:rFonts w:ascii="Century Schoolbook" w:eastAsia="PMingLiU" w:hAnsi="Century Schoolbook" w:cs="PMingLiU"/>
          <w:sz w:val="26"/>
          <w:szCs w:val="26"/>
        </w:rPr>
        <w:t>. §</w:t>
      </w:r>
      <w:r>
        <w:rPr>
          <w:rFonts w:ascii="Century Schoolbook" w:eastAsia="PMingLiU" w:hAnsi="Century Schoolbook" w:cs="PMingLiU"/>
          <w:sz w:val="26"/>
          <w:szCs w:val="26"/>
        </w:rPr>
        <w:t> </w:t>
      </w:r>
      <w:r w:rsidRPr="00640360">
        <w:rPr>
          <w:rFonts w:ascii="Century Schoolbook" w:eastAsia="PMingLiU" w:hAnsi="Century Schoolbook" w:cs="PMingLiU"/>
          <w:sz w:val="26"/>
          <w:szCs w:val="26"/>
        </w:rPr>
        <w:t>1915(e</w:t>
      </w:r>
      <w:proofErr w:type="gramStart"/>
      <w:r w:rsidRPr="00640360">
        <w:rPr>
          <w:rFonts w:ascii="Century Schoolbook" w:eastAsia="PMingLiU" w:hAnsi="Century Schoolbook" w:cs="PMingLiU"/>
          <w:sz w:val="26"/>
          <w:szCs w:val="26"/>
        </w:rPr>
        <w:t>)(</w:t>
      </w:r>
      <w:proofErr w:type="gramEnd"/>
      <w:r w:rsidRPr="00640360">
        <w:rPr>
          <w:rFonts w:ascii="Century Schoolbook" w:eastAsia="PMingLiU" w:hAnsi="Century Schoolbook" w:cs="PMingLiU"/>
          <w:sz w:val="26"/>
          <w:szCs w:val="26"/>
        </w:rPr>
        <w:t xml:space="preserve">2)(B). </w:t>
      </w:r>
      <w:r>
        <w:rPr>
          <w:rFonts w:ascii="Century Schoolbook" w:eastAsia="PMingLiU" w:hAnsi="Century Schoolbook" w:cs="PMingLiU"/>
          <w:sz w:val="26"/>
          <w:szCs w:val="26"/>
        </w:rPr>
        <w:t xml:space="preserve"> </w:t>
      </w:r>
      <w:r w:rsidRPr="00640360">
        <w:rPr>
          <w:rFonts w:ascii="Century Schoolbook" w:eastAsia="PMingLiU" w:hAnsi="Century Schoolbook" w:cs="PMingLiU"/>
          <w:sz w:val="26"/>
          <w:szCs w:val="26"/>
        </w:rPr>
        <w:t xml:space="preserve">Hanna appealed, raising various arguments.  </w:t>
      </w:r>
      <w:r w:rsidRPr="002655B6">
        <w:rPr>
          <w:rFonts w:ascii="Century Schoolbook" w:eastAsia="PMingLiU" w:hAnsi="Century Schoolbook" w:cs="PMingLiU"/>
          <w:i/>
          <w:sz w:val="26"/>
          <w:szCs w:val="26"/>
        </w:rPr>
        <w:t>See Hanna v. Maxwell</w:t>
      </w:r>
      <w:r w:rsidRPr="00640360">
        <w:rPr>
          <w:rFonts w:ascii="Century Schoolbook" w:eastAsia="PMingLiU" w:hAnsi="Century Schoolbook" w:cs="PMingLiU"/>
          <w:sz w:val="26"/>
          <w:szCs w:val="26"/>
        </w:rPr>
        <w:t xml:space="preserve">, 415 F. </w:t>
      </w:r>
      <w:proofErr w:type="spellStart"/>
      <w:r w:rsidRPr="00640360">
        <w:rPr>
          <w:rFonts w:ascii="Century Schoolbook" w:eastAsia="PMingLiU" w:hAnsi="Century Schoolbook" w:cs="PMingLiU"/>
          <w:sz w:val="26"/>
          <w:szCs w:val="26"/>
        </w:rPr>
        <w:t>App’x</w:t>
      </w:r>
      <w:proofErr w:type="spellEnd"/>
      <w:r w:rsidRPr="00640360">
        <w:rPr>
          <w:rFonts w:ascii="Century Schoolbook" w:eastAsia="PMingLiU" w:hAnsi="Century Schoolbook" w:cs="PMingLiU"/>
          <w:sz w:val="26"/>
          <w:szCs w:val="26"/>
        </w:rPr>
        <w:t xml:space="preserve"> 533, 534-37 (5th Cir. 2011).  This court affirmed in part, vacated in part, and remanded for further proceedings after concluding that Hanna had stated a retaliation claim.  </w:t>
      </w:r>
      <w:r w:rsidRPr="00EA355E">
        <w:rPr>
          <w:rFonts w:ascii="Century Schoolbook" w:eastAsia="PMingLiU" w:hAnsi="Century Schoolbook" w:cs="PMingLiU"/>
          <w:i/>
          <w:sz w:val="26"/>
          <w:szCs w:val="26"/>
        </w:rPr>
        <w:t>Id</w:t>
      </w:r>
      <w:r w:rsidRPr="00640360">
        <w:rPr>
          <w:rFonts w:ascii="Century Schoolbook" w:eastAsia="PMingLiU" w:hAnsi="Century Schoolbook" w:cs="PMingLiU"/>
          <w:sz w:val="26"/>
          <w:szCs w:val="26"/>
        </w:rPr>
        <w:t xml:space="preserve">. at 535-37.  With respect to Hanna’s other arguments, the court found no error or abuse of discretion in the district court’s decision.  </w:t>
      </w:r>
      <w:r w:rsidRPr="00EA355E">
        <w:rPr>
          <w:rFonts w:ascii="Century Schoolbook" w:eastAsia="PMingLiU" w:hAnsi="Century Schoolbook" w:cs="PMingLiU"/>
          <w:i/>
          <w:sz w:val="26"/>
          <w:szCs w:val="26"/>
        </w:rPr>
        <w:t>See id</w:t>
      </w:r>
      <w:r w:rsidRPr="00640360">
        <w:rPr>
          <w:rFonts w:ascii="Century Schoolbook" w:eastAsia="PMingLiU" w:hAnsi="Century Schoolbook" w:cs="PMingLiU"/>
          <w:sz w:val="26"/>
          <w:szCs w:val="26"/>
        </w:rPr>
        <w:t>. 535-37 nn.1, 3.</w:t>
      </w:r>
      <w:r w:rsidR="00973DD5">
        <w:rPr>
          <w:rFonts w:ascii="Century Schoolbook" w:eastAsia="PMingLiU" w:hAnsi="Century Schoolbook" w:cs="PMingLiU"/>
          <w:sz w:val="26"/>
          <w:szCs w:val="26"/>
        </w:rPr>
        <w:t xml:space="preserve">  Thus, only Hanna’s retaliation claim remained extant.</w:t>
      </w:r>
    </w:p>
    <w:p w:rsidR="00640360" w:rsidRPr="00640360" w:rsidRDefault="00640360" w:rsidP="00640360">
      <w:pPr>
        <w:widowControl/>
        <w:spacing w:line="360" w:lineRule="auto"/>
        <w:ind w:firstLine="720"/>
        <w:jc w:val="both"/>
        <w:rPr>
          <w:rFonts w:ascii="Century Schoolbook" w:eastAsia="PMingLiU" w:hAnsi="Century Schoolbook" w:cs="PMingLiU"/>
          <w:sz w:val="26"/>
          <w:szCs w:val="26"/>
        </w:rPr>
      </w:pPr>
      <w:r w:rsidRPr="00640360">
        <w:rPr>
          <w:rFonts w:ascii="Century Schoolbook" w:eastAsia="PMingLiU" w:hAnsi="Century Schoolbook" w:cs="PMingLiU"/>
          <w:sz w:val="26"/>
          <w:szCs w:val="26"/>
        </w:rPr>
        <w:t xml:space="preserve">On remand, the </w:t>
      </w:r>
      <w:r w:rsidR="008807A5">
        <w:rPr>
          <w:rFonts w:ascii="Century Schoolbook" w:eastAsia="PMingLiU" w:hAnsi="Century Schoolbook" w:cs="PMingLiU"/>
          <w:sz w:val="26"/>
          <w:szCs w:val="26"/>
        </w:rPr>
        <w:t>magistrate judge</w:t>
      </w:r>
      <w:r w:rsidRPr="00640360">
        <w:rPr>
          <w:rFonts w:ascii="Century Schoolbook" w:eastAsia="PMingLiU" w:hAnsi="Century Schoolbook" w:cs="PMingLiU"/>
          <w:sz w:val="26"/>
          <w:szCs w:val="26"/>
        </w:rPr>
        <w:t xml:space="preserve"> </w:t>
      </w:r>
      <w:r w:rsidR="00ED3EE4">
        <w:rPr>
          <w:rFonts w:ascii="Century Schoolbook" w:eastAsia="PMingLiU" w:hAnsi="Century Schoolbook" w:cs="PMingLiU"/>
          <w:sz w:val="26"/>
          <w:szCs w:val="26"/>
        </w:rPr>
        <w:t>issued a report on September 30, 2011 recommending</w:t>
      </w:r>
      <w:r w:rsidRPr="00640360">
        <w:rPr>
          <w:rFonts w:ascii="Century Schoolbook" w:eastAsia="PMingLiU" w:hAnsi="Century Schoolbook" w:cs="PMingLiU"/>
          <w:sz w:val="26"/>
          <w:szCs w:val="26"/>
        </w:rPr>
        <w:t xml:space="preserve"> dismissing Hanna’s §</w:t>
      </w:r>
      <w:r w:rsidR="00262F2F">
        <w:rPr>
          <w:rFonts w:ascii="Century Schoolbook" w:eastAsia="PMingLiU" w:hAnsi="Century Schoolbook" w:cs="PMingLiU"/>
          <w:sz w:val="26"/>
          <w:szCs w:val="26"/>
        </w:rPr>
        <w:t> </w:t>
      </w:r>
      <w:r w:rsidRPr="00640360">
        <w:rPr>
          <w:rFonts w:ascii="Century Schoolbook" w:eastAsia="PMingLiU" w:hAnsi="Century Schoolbook" w:cs="PMingLiU"/>
          <w:sz w:val="26"/>
          <w:szCs w:val="26"/>
        </w:rPr>
        <w:t xml:space="preserve">1983 </w:t>
      </w:r>
      <w:r w:rsidR="00FD1579">
        <w:rPr>
          <w:rFonts w:ascii="Century Schoolbook" w:eastAsia="PMingLiU" w:hAnsi="Century Schoolbook" w:cs="PMingLiU"/>
          <w:sz w:val="26"/>
          <w:szCs w:val="26"/>
        </w:rPr>
        <w:t>retaliation claim</w:t>
      </w:r>
      <w:r w:rsidRPr="00640360">
        <w:rPr>
          <w:rFonts w:ascii="Century Schoolbook" w:eastAsia="PMingLiU" w:hAnsi="Century Schoolbook" w:cs="PMingLiU"/>
          <w:sz w:val="26"/>
          <w:szCs w:val="26"/>
        </w:rPr>
        <w:t xml:space="preserve"> as barred by the applicable statute of limitations.  </w:t>
      </w:r>
      <w:r w:rsidR="00262F2F">
        <w:rPr>
          <w:rFonts w:ascii="Century Schoolbook" w:eastAsia="PMingLiU" w:hAnsi="Century Schoolbook" w:cs="PMingLiU"/>
          <w:sz w:val="26"/>
          <w:szCs w:val="26"/>
        </w:rPr>
        <w:t>S</w:t>
      </w:r>
      <w:r w:rsidRPr="00640360">
        <w:rPr>
          <w:rFonts w:ascii="Century Schoolbook" w:eastAsia="PMingLiU" w:hAnsi="Century Schoolbook" w:cs="PMingLiU"/>
          <w:sz w:val="26"/>
          <w:szCs w:val="26"/>
        </w:rPr>
        <w:t xml:space="preserve">pecifically, the </w:t>
      </w:r>
      <w:r w:rsidR="008807A5">
        <w:rPr>
          <w:rFonts w:ascii="Century Schoolbook" w:eastAsia="PMingLiU" w:hAnsi="Century Schoolbook" w:cs="PMingLiU"/>
          <w:sz w:val="26"/>
          <w:szCs w:val="26"/>
        </w:rPr>
        <w:t>magistrate judge</w:t>
      </w:r>
      <w:r w:rsidR="008807A5" w:rsidRPr="00640360">
        <w:rPr>
          <w:rFonts w:ascii="Century Schoolbook" w:eastAsia="PMingLiU" w:hAnsi="Century Schoolbook" w:cs="PMingLiU"/>
          <w:sz w:val="26"/>
          <w:szCs w:val="26"/>
        </w:rPr>
        <w:t xml:space="preserve"> </w:t>
      </w:r>
      <w:r w:rsidRPr="00640360">
        <w:rPr>
          <w:rFonts w:ascii="Century Schoolbook" w:eastAsia="PMingLiU" w:hAnsi="Century Schoolbook" w:cs="PMingLiU"/>
          <w:sz w:val="26"/>
          <w:szCs w:val="26"/>
        </w:rPr>
        <w:t>found that Hanna’s retaliation claim accrued in January 2003 when he was disciplined and that the applicable statute of limitations under Louisiana law expired a year later in January 2004.</w:t>
      </w:r>
      <w:r w:rsidR="00747DB4">
        <w:rPr>
          <w:rFonts w:ascii="Century Schoolbook" w:eastAsia="PMingLiU" w:hAnsi="Century Schoolbook" w:cs="PMingLiU"/>
          <w:sz w:val="26"/>
          <w:szCs w:val="26"/>
        </w:rPr>
        <w:t xml:space="preserve">  Hanna did not file </w:t>
      </w:r>
      <w:r w:rsidR="00D610D0">
        <w:rPr>
          <w:rFonts w:ascii="Century Schoolbook" w:eastAsia="PMingLiU" w:hAnsi="Century Schoolbook" w:cs="PMingLiU"/>
          <w:sz w:val="26"/>
          <w:szCs w:val="26"/>
        </w:rPr>
        <w:t>timely</w:t>
      </w:r>
      <w:r w:rsidR="00747DB4">
        <w:rPr>
          <w:rFonts w:ascii="Century Schoolbook" w:eastAsia="PMingLiU" w:hAnsi="Century Schoolbook" w:cs="PMingLiU"/>
          <w:sz w:val="26"/>
          <w:szCs w:val="26"/>
        </w:rPr>
        <w:t xml:space="preserve"> objections to </w:t>
      </w:r>
      <w:r w:rsidR="00747DB4">
        <w:rPr>
          <w:rFonts w:ascii="Century Schoolbook" w:eastAsia="PMingLiU" w:hAnsi="Century Schoolbook" w:cs="PMingLiU"/>
          <w:sz w:val="26"/>
          <w:szCs w:val="26"/>
        </w:rPr>
        <w:lastRenderedPageBreak/>
        <w:t>the report and recommendation</w:t>
      </w:r>
      <w:r w:rsidR="00E128D1">
        <w:rPr>
          <w:rFonts w:ascii="Century Schoolbook" w:eastAsia="PMingLiU" w:hAnsi="Century Schoolbook" w:cs="PMingLiU"/>
          <w:sz w:val="26"/>
          <w:szCs w:val="26"/>
        </w:rPr>
        <w:t xml:space="preserve">, and on October 21, 2011, </w:t>
      </w:r>
      <w:r w:rsidR="00D610D0">
        <w:rPr>
          <w:rFonts w:ascii="Century Schoolbook" w:eastAsia="PMingLiU" w:hAnsi="Century Schoolbook" w:cs="PMingLiU"/>
          <w:sz w:val="26"/>
          <w:szCs w:val="26"/>
        </w:rPr>
        <w:t xml:space="preserve">following the deadline for such objections, </w:t>
      </w:r>
      <w:r w:rsidR="00E128D1">
        <w:rPr>
          <w:rFonts w:ascii="Century Schoolbook" w:eastAsia="PMingLiU" w:hAnsi="Century Schoolbook" w:cs="PMingLiU"/>
          <w:sz w:val="26"/>
          <w:szCs w:val="26"/>
        </w:rPr>
        <w:t>th</w:t>
      </w:r>
      <w:r w:rsidRPr="00640360">
        <w:rPr>
          <w:rFonts w:ascii="Century Schoolbook" w:eastAsia="PMingLiU" w:hAnsi="Century Schoolbook" w:cs="PMingLiU"/>
          <w:sz w:val="26"/>
          <w:szCs w:val="26"/>
        </w:rPr>
        <w:t xml:space="preserve">e district court </w:t>
      </w:r>
      <w:r w:rsidR="00D610D0">
        <w:rPr>
          <w:rFonts w:ascii="Century Schoolbook" w:eastAsia="PMingLiU" w:hAnsi="Century Schoolbook" w:cs="PMingLiU"/>
          <w:sz w:val="26"/>
          <w:szCs w:val="26"/>
        </w:rPr>
        <w:t>issued a judgment concurring</w:t>
      </w:r>
      <w:r w:rsidRPr="00640360">
        <w:rPr>
          <w:rFonts w:ascii="Century Schoolbook" w:eastAsia="PMingLiU" w:hAnsi="Century Schoolbook" w:cs="PMingLiU"/>
          <w:sz w:val="26"/>
          <w:szCs w:val="26"/>
        </w:rPr>
        <w:t xml:space="preserve"> with the </w:t>
      </w:r>
      <w:r w:rsidR="008807A5">
        <w:rPr>
          <w:rFonts w:ascii="Century Schoolbook" w:eastAsia="PMingLiU" w:hAnsi="Century Schoolbook" w:cs="PMingLiU"/>
          <w:sz w:val="26"/>
          <w:szCs w:val="26"/>
        </w:rPr>
        <w:t>magistrate judge</w:t>
      </w:r>
      <w:r w:rsidRPr="00640360">
        <w:rPr>
          <w:rFonts w:ascii="Century Schoolbook" w:eastAsia="PMingLiU" w:hAnsi="Century Schoolbook" w:cs="PMingLiU"/>
          <w:sz w:val="26"/>
          <w:szCs w:val="26"/>
        </w:rPr>
        <w:t xml:space="preserve">’s report and </w:t>
      </w:r>
      <w:r w:rsidR="00D610D0">
        <w:rPr>
          <w:rFonts w:ascii="Century Schoolbook" w:eastAsia="PMingLiU" w:hAnsi="Century Schoolbook" w:cs="PMingLiU"/>
          <w:sz w:val="26"/>
          <w:szCs w:val="26"/>
        </w:rPr>
        <w:t>dismissing Hanna’s action with prejudice</w:t>
      </w:r>
      <w:r w:rsidR="00A810AD">
        <w:rPr>
          <w:rFonts w:ascii="Century Schoolbook" w:eastAsia="PMingLiU" w:hAnsi="Century Schoolbook" w:cs="PMingLiU"/>
          <w:sz w:val="26"/>
          <w:szCs w:val="26"/>
        </w:rPr>
        <w:t>.</w:t>
      </w:r>
    </w:p>
    <w:p w:rsidR="009254EA" w:rsidRDefault="00640360" w:rsidP="00640360">
      <w:pPr>
        <w:widowControl/>
        <w:spacing w:line="360" w:lineRule="auto"/>
        <w:ind w:firstLine="720"/>
        <w:jc w:val="both"/>
        <w:rPr>
          <w:rFonts w:ascii="Century Schoolbook" w:eastAsia="PMingLiU" w:hAnsi="Century Schoolbook" w:cs="PMingLiU"/>
          <w:sz w:val="26"/>
          <w:szCs w:val="26"/>
        </w:rPr>
      </w:pPr>
      <w:r w:rsidRPr="00640360">
        <w:rPr>
          <w:rFonts w:ascii="Century Schoolbook" w:eastAsia="PMingLiU" w:hAnsi="Century Schoolbook" w:cs="PMingLiU"/>
          <w:sz w:val="26"/>
          <w:szCs w:val="26"/>
        </w:rPr>
        <w:t xml:space="preserve">On November 14, 2011, 24 days after entry of the district court’s judgment, Hanna filed a motion for an extension of time to file a response to the </w:t>
      </w:r>
      <w:r w:rsidR="009254EA">
        <w:rPr>
          <w:rFonts w:ascii="Century Schoolbook" w:eastAsia="PMingLiU" w:hAnsi="Century Schoolbook" w:cs="PMingLiU"/>
          <w:sz w:val="26"/>
          <w:szCs w:val="26"/>
        </w:rPr>
        <w:t>magistrate judge</w:t>
      </w:r>
      <w:r w:rsidRPr="00640360">
        <w:rPr>
          <w:rFonts w:ascii="Century Schoolbook" w:eastAsia="PMingLiU" w:hAnsi="Century Schoolbook" w:cs="PMingLiU"/>
          <w:sz w:val="26"/>
          <w:szCs w:val="26"/>
        </w:rPr>
        <w:t>’s report, asserting that a mailman had placed the r</w:t>
      </w:r>
      <w:r w:rsidR="009254EA">
        <w:rPr>
          <w:rFonts w:ascii="Century Schoolbook" w:eastAsia="PMingLiU" w:hAnsi="Century Schoolbook" w:cs="PMingLiU"/>
          <w:sz w:val="26"/>
          <w:szCs w:val="26"/>
        </w:rPr>
        <w:t xml:space="preserve">eport in a neighbor’s mailbox, </w:t>
      </w:r>
      <w:r w:rsidRPr="00640360">
        <w:rPr>
          <w:rFonts w:ascii="Century Schoolbook" w:eastAsia="PMingLiU" w:hAnsi="Century Schoolbook" w:cs="PMingLiU"/>
          <w:sz w:val="26"/>
          <w:szCs w:val="26"/>
        </w:rPr>
        <w:t xml:space="preserve">that he did not receive </w:t>
      </w:r>
      <w:r w:rsidR="009254EA">
        <w:rPr>
          <w:rFonts w:ascii="Century Schoolbook" w:eastAsia="PMingLiU" w:hAnsi="Century Schoolbook" w:cs="PMingLiU"/>
          <w:sz w:val="26"/>
          <w:szCs w:val="26"/>
        </w:rPr>
        <w:t>it</w:t>
      </w:r>
      <w:r w:rsidRPr="00640360">
        <w:rPr>
          <w:rFonts w:ascii="Century Schoolbook" w:eastAsia="PMingLiU" w:hAnsi="Century Schoolbook" w:cs="PMingLiU"/>
          <w:sz w:val="26"/>
          <w:szCs w:val="26"/>
        </w:rPr>
        <w:t xml:space="preserve"> until after the time for filing timely objections had passed, and that he disagreed with the </w:t>
      </w:r>
      <w:r w:rsidR="009254EA">
        <w:rPr>
          <w:rFonts w:ascii="Century Schoolbook" w:eastAsia="PMingLiU" w:hAnsi="Century Schoolbook" w:cs="PMingLiU"/>
          <w:sz w:val="26"/>
          <w:szCs w:val="26"/>
        </w:rPr>
        <w:t xml:space="preserve">magistrate judge’s </w:t>
      </w:r>
      <w:r w:rsidRPr="00640360">
        <w:rPr>
          <w:rFonts w:ascii="Century Schoolbook" w:eastAsia="PMingLiU" w:hAnsi="Century Schoolbook" w:cs="PMingLiU"/>
          <w:sz w:val="26"/>
          <w:szCs w:val="26"/>
        </w:rPr>
        <w:t xml:space="preserve">recommendation.  On December 13, 2011, Hanna filed another motion to extend the time for filing objections to the report.  On December 15, 2011, the </w:t>
      </w:r>
      <w:r w:rsidR="009254EA">
        <w:rPr>
          <w:rFonts w:ascii="Century Schoolbook" w:eastAsia="PMingLiU" w:hAnsi="Century Schoolbook" w:cs="PMingLiU"/>
          <w:sz w:val="26"/>
          <w:szCs w:val="26"/>
        </w:rPr>
        <w:t>magistrate judge</w:t>
      </w:r>
      <w:r w:rsidR="009254EA" w:rsidRPr="00640360">
        <w:rPr>
          <w:rFonts w:ascii="Century Schoolbook" w:eastAsia="PMingLiU" w:hAnsi="Century Schoolbook" w:cs="PMingLiU"/>
          <w:sz w:val="26"/>
          <w:szCs w:val="26"/>
        </w:rPr>
        <w:t xml:space="preserve"> </w:t>
      </w:r>
      <w:r w:rsidRPr="00640360">
        <w:rPr>
          <w:rFonts w:ascii="Century Schoolbook" w:eastAsia="PMingLiU" w:hAnsi="Century Schoolbook" w:cs="PMingLiU"/>
          <w:sz w:val="26"/>
          <w:szCs w:val="26"/>
        </w:rPr>
        <w:t>issued an electronic order</w:t>
      </w:r>
      <w:r w:rsidR="004A7C6D">
        <w:rPr>
          <w:rFonts w:ascii="Century Schoolbook" w:eastAsia="PMingLiU" w:hAnsi="Century Schoolbook" w:cs="PMingLiU"/>
          <w:sz w:val="26"/>
          <w:szCs w:val="26"/>
        </w:rPr>
        <w:t>, without an attached document,</w:t>
      </w:r>
      <w:r w:rsidRPr="00640360">
        <w:rPr>
          <w:rFonts w:ascii="Century Schoolbook" w:eastAsia="PMingLiU" w:hAnsi="Century Schoolbook" w:cs="PMingLiU"/>
          <w:sz w:val="26"/>
          <w:szCs w:val="26"/>
        </w:rPr>
        <w:t xml:space="preserve"> declaring Hanna’s </w:t>
      </w:r>
      <w:proofErr w:type="spellStart"/>
      <w:r w:rsidRPr="00640360">
        <w:rPr>
          <w:rFonts w:ascii="Century Schoolbook" w:eastAsia="PMingLiU" w:hAnsi="Century Schoolbook" w:cs="PMingLiU"/>
          <w:sz w:val="26"/>
          <w:szCs w:val="26"/>
        </w:rPr>
        <w:t>postjudgment</w:t>
      </w:r>
      <w:proofErr w:type="spellEnd"/>
      <w:r w:rsidRPr="00640360">
        <w:rPr>
          <w:rFonts w:ascii="Century Schoolbook" w:eastAsia="PMingLiU" w:hAnsi="Century Schoolbook" w:cs="PMingLiU"/>
          <w:sz w:val="26"/>
          <w:szCs w:val="26"/>
        </w:rPr>
        <w:t xml:space="preserve"> motions moot because the case had already been dismissed</w:t>
      </w:r>
      <w:r w:rsidR="004A7C6D">
        <w:rPr>
          <w:rFonts w:ascii="Century Schoolbook" w:eastAsia="PMingLiU" w:hAnsi="Century Schoolbook" w:cs="PMingLiU"/>
          <w:sz w:val="26"/>
          <w:szCs w:val="26"/>
        </w:rPr>
        <w:t>.</w:t>
      </w:r>
    </w:p>
    <w:p w:rsidR="00FA1764" w:rsidRDefault="00640360" w:rsidP="00640360">
      <w:pPr>
        <w:widowControl/>
        <w:spacing w:line="360" w:lineRule="auto"/>
        <w:ind w:firstLine="720"/>
        <w:jc w:val="both"/>
        <w:rPr>
          <w:rFonts w:ascii="Century Schoolbook" w:eastAsia="PMingLiU" w:hAnsi="Century Schoolbook" w:cs="PMingLiU"/>
          <w:sz w:val="26"/>
          <w:szCs w:val="26"/>
        </w:rPr>
      </w:pPr>
      <w:r w:rsidRPr="00640360">
        <w:rPr>
          <w:rFonts w:ascii="Century Schoolbook" w:eastAsia="PMingLiU" w:hAnsi="Century Schoolbook" w:cs="PMingLiU"/>
          <w:sz w:val="26"/>
          <w:szCs w:val="26"/>
        </w:rPr>
        <w:t>On January 10, 2012, Hanna filed his</w:t>
      </w:r>
      <w:r w:rsidR="00F06105">
        <w:rPr>
          <w:rFonts w:ascii="Century Schoolbook" w:eastAsia="PMingLiU" w:hAnsi="Century Schoolbook" w:cs="PMingLiU"/>
          <w:sz w:val="26"/>
          <w:szCs w:val="26"/>
        </w:rPr>
        <w:t xml:space="preserve"> late</w:t>
      </w:r>
      <w:r w:rsidRPr="00640360">
        <w:rPr>
          <w:rFonts w:ascii="Century Schoolbook" w:eastAsia="PMingLiU" w:hAnsi="Century Schoolbook" w:cs="PMingLiU"/>
          <w:sz w:val="26"/>
          <w:szCs w:val="26"/>
        </w:rPr>
        <w:t xml:space="preserve"> objections to the </w:t>
      </w:r>
      <w:r w:rsidR="009254EA">
        <w:rPr>
          <w:rFonts w:ascii="Century Schoolbook" w:eastAsia="PMingLiU" w:hAnsi="Century Schoolbook" w:cs="PMingLiU"/>
          <w:sz w:val="26"/>
          <w:szCs w:val="26"/>
        </w:rPr>
        <w:t>magistrate judge’s</w:t>
      </w:r>
      <w:r w:rsidR="009254EA" w:rsidRPr="00640360">
        <w:rPr>
          <w:rFonts w:ascii="Century Schoolbook" w:eastAsia="PMingLiU" w:hAnsi="Century Schoolbook" w:cs="PMingLiU"/>
          <w:sz w:val="26"/>
          <w:szCs w:val="26"/>
        </w:rPr>
        <w:t xml:space="preserve"> </w:t>
      </w:r>
      <w:r w:rsidRPr="00640360">
        <w:rPr>
          <w:rFonts w:ascii="Century Schoolbook" w:eastAsia="PMingLiU" w:hAnsi="Century Schoolbook" w:cs="PMingLiU"/>
          <w:sz w:val="26"/>
          <w:szCs w:val="26"/>
        </w:rPr>
        <w:t xml:space="preserve">report. </w:t>
      </w:r>
      <w:r w:rsidR="009254EA">
        <w:rPr>
          <w:rFonts w:ascii="Century Schoolbook" w:eastAsia="PMingLiU" w:hAnsi="Century Schoolbook" w:cs="PMingLiU"/>
          <w:sz w:val="26"/>
          <w:szCs w:val="26"/>
        </w:rPr>
        <w:t xml:space="preserve"> </w:t>
      </w:r>
      <w:r w:rsidRPr="00640360">
        <w:rPr>
          <w:rFonts w:ascii="Century Schoolbook" w:eastAsia="PMingLiU" w:hAnsi="Century Schoolbook" w:cs="PMingLiU"/>
          <w:sz w:val="26"/>
          <w:szCs w:val="26"/>
        </w:rPr>
        <w:t xml:space="preserve">On the same day, he appealed to the district court for review of the </w:t>
      </w:r>
      <w:r w:rsidR="009254EA">
        <w:rPr>
          <w:rFonts w:ascii="Century Schoolbook" w:eastAsia="PMingLiU" w:hAnsi="Century Schoolbook" w:cs="PMingLiU"/>
          <w:sz w:val="26"/>
          <w:szCs w:val="26"/>
        </w:rPr>
        <w:t>magistrate judge’s</w:t>
      </w:r>
      <w:r w:rsidR="009254EA" w:rsidRPr="00640360">
        <w:rPr>
          <w:rFonts w:ascii="Century Schoolbook" w:eastAsia="PMingLiU" w:hAnsi="Century Schoolbook" w:cs="PMingLiU"/>
          <w:sz w:val="26"/>
          <w:szCs w:val="26"/>
        </w:rPr>
        <w:t xml:space="preserve"> </w:t>
      </w:r>
      <w:r w:rsidRPr="00640360">
        <w:rPr>
          <w:rFonts w:ascii="Century Schoolbook" w:eastAsia="PMingLiU" w:hAnsi="Century Schoolbook" w:cs="PMingLiU"/>
          <w:sz w:val="26"/>
          <w:szCs w:val="26"/>
        </w:rPr>
        <w:t>denial of his requests for an extensi</w:t>
      </w:r>
      <w:r w:rsidR="009254EA">
        <w:rPr>
          <w:rFonts w:ascii="Century Schoolbook" w:eastAsia="PMingLiU" w:hAnsi="Century Schoolbook" w:cs="PMingLiU"/>
          <w:sz w:val="26"/>
          <w:szCs w:val="26"/>
        </w:rPr>
        <w:t>on of time to file</w:t>
      </w:r>
      <w:r w:rsidR="00F06105">
        <w:rPr>
          <w:rFonts w:ascii="Century Schoolbook" w:eastAsia="PMingLiU" w:hAnsi="Century Schoolbook" w:cs="PMingLiU"/>
          <w:sz w:val="26"/>
          <w:szCs w:val="26"/>
        </w:rPr>
        <w:t xml:space="preserve"> the</w:t>
      </w:r>
      <w:r w:rsidR="009254EA">
        <w:rPr>
          <w:rFonts w:ascii="Century Schoolbook" w:eastAsia="PMingLiU" w:hAnsi="Century Schoolbook" w:cs="PMingLiU"/>
          <w:sz w:val="26"/>
          <w:szCs w:val="26"/>
        </w:rPr>
        <w:t xml:space="preserve"> objections.  </w:t>
      </w:r>
      <w:r w:rsidRPr="00640360">
        <w:rPr>
          <w:rFonts w:ascii="Century Schoolbook" w:eastAsia="PMingLiU" w:hAnsi="Century Schoolbook" w:cs="PMingLiU"/>
          <w:sz w:val="26"/>
          <w:szCs w:val="26"/>
        </w:rPr>
        <w:t xml:space="preserve">On February 9, 2012, Hanna filed a motion to expedite his appeal to the district court.  On February 10, 2012, the district court denied this motion, finding no exceptional circumstances </w:t>
      </w:r>
      <w:r w:rsidR="00F06105">
        <w:rPr>
          <w:rFonts w:ascii="Century Schoolbook" w:eastAsia="PMingLiU" w:hAnsi="Century Schoolbook" w:cs="PMingLiU"/>
          <w:sz w:val="26"/>
          <w:szCs w:val="26"/>
        </w:rPr>
        <w:t>which might warrant</w:t>
      </w:r>
      <w:r w:rsidRPr="00640360">
        <w:rPr>
          <w:rFonts w:ascii="Century Schoolbook" w:eastAsia="PMingLiU" w:hAnsi="Century Schoolbook" w:cs="PMingLiU"/>
          <w:sz w:val="26"/>
          <w:szCs w:val="26"/>
        </w:rPr>
        <w:t xml:space="preserve"> expedited considera</w:t>
      </w:r>
      <w:r w:rsidR="00176FF2">
        <w:rPr>
          <w:rFonts w:ascii="Century Schoolbook" w:eastAsia="PMingLiU" w:hAnsi="Century Schoolbook" w:cs="PMingLiU"/>
          <w:sz w:val="26"/>
          <w:szCs w:val="26"/>
        </w:rPr>
        <w:t>tion.</w:t>
      </w:r>
      <w:r w:rsidR="00FA1764">
        <w:rPr>
          <w:rFonts w:ascii="Century Schoolbook" w:eastAsia="PMingLiU" w:hAnsi="Century Schoolbook" w:cs="PMingLiU"/>
          <w:sz w:val="26"/>
          <w:szCs w:val="26"/>
        </w:rPr>
        <w:t xml:space="preserve">  O</w:t>
      </w:r>
      <w:r w:rsidRPr="00640360">
        <w:rPr>
          <w:rFonts w:ascii="Century Schoolbook" w:eastAsia="PMingLiU" w:hAnsi="Century Schoolbook" w:cs="PMingLiU"/>
          <w:sz w:val="26"/>
          <w:szCs w:val="26"/>
        </w:rPr>
        <w:t xml:space="preserve">n March 29, 2012, Hanna filed a motion </w:t>
      </w:r>
      <w:proofErr w:type="spellStart"/>
      <w:r w:rsidRPr="00640360">
        <w:rPr>
          <w:rFonts w:ascii="Century Schoolbook" w:eastAsia="PMingLiU" w:hAnsi="Century Schoolbook" w:cs="PMingLiU"/>
          <w:sz w:val="26"/>
          <w:szCs w:val="26"/>
        </w:rPr>
        <w:t>reurging</w:t>
      </w:r>
      <w:proofErr w:type="spellEnd"/>
      <w:r w:rsidRPr="00640360">
        <w:rPr>
          <w:rFonts w:ascii="Century Schoolbook" w:eastAsia="PMingLiU" w:hAnsi="Century Schoolbook" w:cs="PMingLiU"/>
          <w:sz w:val="26"/>
          <w:szCs w:val="26"/>
        </w:rPr>
        <w:t xml:space="preserve"> his previously denied motion for an expedited appeal</w:t>
      </w:r>
      <w:r w:rsidR="00F06105">
        <w:rPr>
          <w:rFonts w:ascii="Century Schoolbook" w:eastAsia="PMingLiU" w:hAnsi="Century Schoolbook" w:cs="PMingLiU"/>
          <w:sz w:val="26"/>
          <w:szCs w:val="26"/>
        </w:rPr>
        <w:t xml:space="preserve"> of the magistrate judge’s d</w:t>
      </w:r>
      <w:r w:rsidR="00E27700">
        <w:rPr>
          <w:rFonts w:ascii="Century Schoolbook" w:eastAsia="PMingLiU" w:hAnsi="Century Schoolbook" w:cs="PMingLiU"/>
          <w:sz w:val="26"/>
          <w:szCs w:val="26"/>
        </w:rPr>
        <w:t>ecisions</w:t>
      </w:r>
      <w:r w:rsidRPr="00640360">
        <w:rPr>
          <w:rFonts w:ascii="Century Schoolbook" w:eastAsia="PMingLiU" w:hAnsi="Century Schoolbook" w:cs="PMingLiU"/>
          <w:sz w:val="26"/>
          <w:szCs w:val="26"/>
        </w:rPr>
        <w:t>.</w:t>
      </w:r>
    </w:p>
    <w:p w:rsidR="00640360" w:rsidRPr="00640360" w:rsidRDefault="00651BFC" w:rsidP="00640360">
      <w:pPr>
        <w:widowControl/>
        <w:spacing w:line="360" w:lineRule="auto"/>
        <w:ind w:firstLine="720"/>
        <w:jc w:val="both"/>
        <w:rPr>
          <w:rFonts w:ascii="Century Schoolbook" w:eastAsia="PMingLiU" w:hAnsi="Century Schoolbook" w:cs="PMingLiU"/>
          <w:sz w:val="26"/>
          <w:szCs w:val="26"/>
        </w:rPr>
      </w:pPr>
      <w:r>
        <w:rPr>
          <w:rFonts w:ascii="Century Schoolbook" w:eastAsia="PMingLiU" w:hAnsi="Century Schoolbook" w:cs="PMingLiU"/>
          <w:sz w:val="26"/>
          <w:szCs w:val="26"/>
        </w:rPr>
        <w:t>On April 5, 2012, t</w:t>
      </w:r>
      <w:r w:rsidR="00640360" w:rsidRPr="00640360">
        <w:rPr>
          <w:rFonts w:ascii="Century Schoolbook" w:eastAsia="PMingLiU" w:hAnsi="Century Schoolbook" w:cs="PMingLiU"/>
          <w:sz w:val="26"/>
          <w:szCs w:val="26"/>
        </w:rPr>
        <w:t xml:space="preserve">he district court </w:t>
      </w:r>
      <w:r>
        <w:rPr>
          <w:rFonts w:ascii="Century Schoolbook" w:eastAsia="PMingLiU" w:hAnsi="Century Schoolbook" w:cs="PMingLiU"/>
          <w:sz w:val="26"/>
          <w:szCs w:val="26"/>
        </w:rPr>
        <w:t>issued an Order</w:t>
      </w:r>
      <w:r w:rsidR="00E27700">
        <w:rPr>
          <w:rFonts w:ascii="Century Schoolbook" w:eastAsia="PMingLiU" w:hAnsi="Century Schoolbook" w:cs="PMingLiU"/>
          <w:sz w:val="26"/>
          <w:szCs w:val="26"/>
        </w:rPr>
        <w:t xml:space="preserve"> addressing</w:t>
      </w:r>
      <w:r>
        <w:rPr>
          <w:rFonts w:ascii="Century Schoolbook" w:eastAsia="PMingLiU" w:hAnsi="Century Schoolbook" w:cs="PMingLiU"/>
          <w:sz w:val="26"/>
          <w:szCs w:val="26"/>
        </w:rPr>
        <w:t xml:space="preserve"> </w:t>
      </w:r>
      <w:r w:rsidR="00640360" w:rsidRPr="00640360">
        <w:rPr>
          <w:rFonts w:ascii="Century Schoolbook" w:eastAsia="PMingLiU" w:hAnsi="Century Schoolbook" w:cs="PMingLiU"/>
          <w:sz w:val="26"/>
          <w:szCs w:val="26"/>
        </w:rPr>
        <w:t>Hanna’s</w:t>
      </w:r>
      <w:r w:rsidR="00E27700">
        <w:rPr>
          <w:rFonts w:ascii="Century Schoolbook" w:eastAsia="PMingLiU" w:hAnsi="Century Schoolbook" w:cs="PMingLiU"/>
          <w:sz w:val="26"/>
          <w:szCs w:val="26"/>
        </w:rPr>
        <w:t xml:space="preserve"> </w:t>
      </w:r>
      <w:proofErr w:type="spellStart"/>
      <w:r w:rsidR="00E27700">
        <w:rPr>
          <w:rFonts w:ascii="Century Schoolbook" w:eastAsia="PMingLiU" w:hAnsi="Century Schoolbook" w:cs="PMingLiU"/>
          <w:sz w:val="26"/>
          <w:szCs w:val="26"/>
        </w:rPr>
        <w:t>reurged</w:t>
      </w:r>
      <w:proofErr w:type="spellEnd"/>
      <w:r w:rsidR="00E27700">
        <w:rPr>
          <w:rFonts w:ascii="Century Schoolbook" w:eastAsia="PMingLiU" w:hAnsi="Century Schoolbook" w:cs="PMingLiU"/>
          <w:sz w:val="26"/>
          <w:szCs w:val="26"/>
        </w:rPr>
        <w:t xml:space="preserve"> motion</w:t>
      </w:r>
      <w:r w:rsidR="00F06105">
        <w:rPr>
          <w:rFonts w:ascii="Century Schoolbook" w:eastAsia="PMingLiU" w:hAnsi="Century Schoolbook" w:cs="PMingLiU"/>
          <w:sz w:val="26"/>
          <w:szCs w:val="26"/>
        </w:rPr>
        <w:t xml:space="preserve">, in which it </w:t>
      </w:r>
      <w:r w:rsidR="00E27700">
        <w:rPr>
          <w:rFonts w:ascii="Century Schoolbook" w:eastAsia="PMingLiU" w:hAnsi="Century Schoolbook" w:cs="PMingLiU"/>
          <w:sz w:val="26"/>
          <w:szCs w:val="26"/>
        </w:rPr>
        <w:t>construed the motion</w:t>
      </w:r>
      <w:r w:rsidR="00640360" w:rsidRPr="00640360">
        <w:rPr>
          <w:rFonts w:ascii="Century Schoolbook" w:eastAsia="PMingLiU" w:hAnsi="Century Schoolbook" w:cs="PMingLiU"/>
          <w:sz w:val="26"/>
          <w:szCs w:val="26"/>
        </w:rPr>
        <w:t xml:space="preserve"> as a motion for reconsideration and</w:t>
      </w:r>
      <w:r>
        <w:rPr>
          <w:rFonts w:ascii="Century Schoolbook" w:eastAsia="PMingLiU" w:hAnsi="Century Schoolbook" w:cs="PMingLiU"/>
          <w:sz w:val="26"/>
          <w:szCs w:val="26"/>
        </w:rPr>
        <w:t xml:space="preserve"> address</w:t>
      </w:r>
      <w:r w:rsidR="00E27700">
        <w:rPr>
          <w:rFonts w:ascii="Century Schoolbook" w:eastAsia="PMingLiU" w:hAnsi="Century Schoolbook" w:cs="PMingLiU"/>
          <w:sz w:val="26"/>
          <w:szCs w:val="26"/>
        </w:rPr>
        <w:t>ed</w:t>
      </w:r>
      <w:r>
        <w:rPr>
          <w:rFonts w:ascii="Century Schoolbook" w:eastAsia="PMingLiU" w:hAnsi="Century Schoolbook" w:cs="PMingLiU"/>
          <w:sz w:val="26"/>
          <w:szCs w:val="26"/>
        </w:rPr>
        <w:t xml:space="preserve"> the merits</w:t>
      </w:r>
      <w:r w:rsidR="00E27700">
        <w:rPr>
          <w:rFonts w:ascii="Century Schoolbook" w:eastAsia="PMingLiU" w:hAnsi="Century Schoolbook" w:cs="PMingLiU"/>
          <w:sz w:val="26"/>
          <w:szCs w:val="26"/>
        </w:rPr>
        <w:t xml:space="preserve"> of Hanna’s appeal</w:t>
      </w:r>
      <w:r w:rsidR="00FA1764">
        <w:rPr>
          <w:rFonts w:ascii="Century Schoolbook" w:eastAsia="PMingLiU" w:hAnsi="Century Schoolbook" w:cs="PMingLiU"/>
          <w:sz w:val="26"/>
          <w:szCs w:val="26"/>
        </w:rPr>
        <w:t xml:space="preserve"> of the magistrate </w:t>
      </w:r>
      <w:r w:rsidR="00FA1764">
        <w:rPr>
          <w:rFonts w:ascii="Century Schoolbook" w:eastAsia="PMingLiU" w:hAnsi="Century Schoolbook" w:cs="PMingLiU"/>
          <w:sz w:val="26"/>
          <w:szCs w:val="26"/>
        </w:rPr>
        <w:lastRenderedPageBreak/>
        <w:t>judge’s decisions</w:t>
      </w:r>
      <w:r w:rsidR="00E27700">
        <w:rPr>
          <w:rFonts w:ascii="Century Schoolbook" w:eastAsia="PMingLiU" w:hAnsi="Century Schoolbook" w:cs="PMingLiU"/>
          <w:sz w:val="26"/>
          <w:szCs w:val="26"/>
        </w:rPr>
        <w:t xml:space="preserve">.  </w:t>
      </w:r>
      <w:r w:rsidR="00F06105">
        <w:rPr>
          <w:rFonts w:ascii="Century Schoolbook" w:eastAsia="PMingLiU" w:hAnsi="Century Schoolbook" w:cs="PMingLiU"/>
          <w:sz w:val="26"/>
          <w:szCs w:val="26"/>
        </w:rPr>
        <w:t>The district court concluded: “There is no basis to reconsider our decision dismissing Plaintiff’s claims, even</w:t>
      </w:r>
      <w:r w:rsidR="00E27700">
        <w:rPr>
          <w:rFonts w:ascii="Century Schoolbook" w:eastAsia="PMingLiU" w:hAnsi="Century Schoolbook" w:cs="PMingLiU"/>
          <w:sz w:val="26"/>
          <w:szCs w:val="26"/>
        </w:rPr>
        <w:t xml:space="preserve"> taking into account</w:t>
      </w:r>
      <w:r w:rsidR="00640360" w:rsidRPr="00640360">
        <w:rPr>
          <w:rFonts w:ascii="Century Schoolbook" w:eastAsia="PMingLiU" w:hAnsi="Century Schoolbook" w:cs="PMingLiU"/>
          <w:sz w:val="26"/>
          <w:szCs w:val="26"/>
        </w:rPr>
        <w:t xml:space="preserve"> </w:t>
      </w:r>
      <w:r w:rsidR="00F06105">
        <w:rPr>
          <w:rFonts w:ascii="Century Schoolbook" w:eastAsia="PMingLiU" w:hAnsi="Century Schoolbook" w:cs="PMingLiU"/>
          <w:sz w:val="26"/>
          <w:szCs w:val="26"/>
        </w:rPr>
        <w:t>Mr. Hanna’s Objection to the Magistrate Judge’s Report and Recommendation.”</w:t>
      </w:r>
      <w:r w:rsidR="00640360" w:rsidRPr="00640360">
        <w:rPr>
          <w:rFonts w:ascii="Century Schoolbook" w:eastAsia="PMingLiU" w:hAnsi="Century Schoolbook" w:cs="PMingLiU"/>
          <w:sz w:val="26"/>
          <w:szCs w:val="26"/>
        </w:rPr>
        <w:t xml:space="preserve">  In denying the motion, the district court again observed that Hanna’s</w:t>
      </w:r>
      <w:r w:rsidR="001E3A3B">
        <w:rPr>
          <w:rFonts w:ascii="Century Schoolbook" w:eastAsia="PMingLiU" w:hAnsi="Century Schoolbook" w:cs="PMingLiU"/>
          <w:sz w:val="26"/>
          <w:szCs w:val="26"/>
        </w:rPr>
        <w:t xml:space="preserve"> retaliation claim under § 1983</w:t>
      </w:r>
      <w:r w:rsidR="00640360" w:rsidRPr="00640360">
        <w:rPr>
          <w:rFonts w:ascii="Century Schoolbook" w:eastAsia="PMingLiU" w:hAnsi="Century Schoolbook" w:cs="PMingLiU"/>
          <w:sz w:val="26"/>
          <w:szCs w:val="26"/>
        </w:rPr>
        <w:t xml:space="preserve"> was time barred.  The court additionally denied</w:t>
      </w:r>
      <w:r w:rsidR="001E3A3B">
        <w:rPr>
          <w:rFonts w:ascii="Century Schoolbook" w:eastAsia="PMingLiU" w:hAnsi="Century Schoolbook" w:cs="PMingLiU"/>
          <w:sz w:val="26"/>
          <w:szCs w:val="26"/>
        </w:rPr>
        <w:t xml:space="preserve"> as moot</w:t>
      </w:r>
      <w:r w:rsidR="00640360" w:rsidRPr="00640360">
        <w:rPr>
          <w:rFonts w:ascii="Century Schoolbook" w:eastAsia="PMingLiU" w:hAnsi="Century Schoolbook" w:cs="PMingLiU"/>
          <w:sz w:val="26"/>
          <w:szCs w:val="26"/>
        </w:rPr>
        <w:t xml:space="preserve"> Hanna’s appeal from the </w:t>
      </w:r>
      <w:r w:rsidR="00176FF2">
        <w:rPr>
          <w:rFonts w:ascii="Century Schoolbook" w:eastAsia="PMingLiU" w:hAnsi="Century Schoolbook" w:cs="PMingLiU"/>
          <w:sz w:val="26"/>
          <w:szCs w:val="26"/>
        </w:rPr>
        <w:t>magistrate judge’s denial of his motion to extend.</w:t>
      </w:r>
    </w:p>
    <w:p w:rsidR="0072498F" w:rsidRDefault="001E3A3B" w:rsidP="00640360">
      <w:pPr>
        <w:widowControl/>
        <w:spacing w:line="360" w:lineRule="auto"/>
        <w:ind w:firstLine="720"/>
        <w:jc w:val="both"/>
        <w:rPr>
          <w:rFonts w:ascii="Century Schoolbook" w:eastAsia="PMingLiU" w:hAnsi="Century Schoolbook" w:cs="PMingLiU"/>
          <w:sz w:val="26"/>
          <w:szCs w:val="26"/>
        </w:rPr>
      </w:pPr>
      <w:r>
        <w:rPr>
          <w:rFonts w:ascii="Century Schoolbook" w:eastAsia="PMingLiU" w:hAnsi="Century Schoolbook" w:cs="PMingLiU"/>
          <w:sz w:val="26"/>
          <w:szCs w:val="26"/>
        </w:rPr>
        <w:t>On April 17, 2012, w</w:t>
      </w:r>
      <w:r w:rsidR="00640360" w:rsidRPr="00640360">
        <w:rPr>
          <w:rFonts w:ascii="Century Schoolbook" w:eastAsia="PMingLiU" w:hAnsi="Century Schoolbook" w:cs="PMingLiU"/>
          <w:sz w:val="26"/>
          <w:szCs w:val="26"/>
        </w:rPr>
        <w:t xml:space="preserve">ithin 30 days from entry of this </w:t>
      </w:r>
      <w:r w:rsidR="00FA1764">
        <w:rPr>
          <w:rFonts w:ascii="Century Schoolbook" w:eastAsia="PMingLiU" w:hAnsi="Century Schoolbook" w:cs="PMingLiU"/>
          <w:sz w:val="26"/>
          <w:szCs w:val="26"/>
        </w:rPr>
        <w:t>final</w:t>
      </w:r>
      <w:r w:rsidR="00640360" w:rsidRPr="00640360">
        <w:rPr>
          <w:rFonts w:ascii="Century Schoolbook" w:eastAsia="PMingLiU" w:hAnsi="Century Schoolbook" w:cs="PMingLiU"/>
          <w:sz w:val="26"/>
          <w:szCs w:val="26"/>
        </w:rPr>
        <w:t xml:space="preserve"> order, Hanna filed a notice of appeal</w:t>
      </w:r>
      <w:r>
        <w:rPr>
          <w:rFonts w:ascii="Century Schoolbook" w:eastAsia="PMingLiU" w:hAnsi="Century Schoolbook" w:cs="PMingLiU"/>
          <w:sz w:val="26"/>
          <w:szCs w:val="26"/>
        </w:rPr>
        <w:t xml:space="preserve"> to this court.</w:t>
      </w:r>
    </w:p>
    <w:p w:rsidR="00CC1E4C" w:rsidRDefault="00CC1E4C" w:rsidP="00640360">
      <w:pPr>
        <w:widowControl/>
        <w:spacing w:line="360" w:lineRule="auto"/>
        <w:ind w:firstLine="720"/>
        <w:jc w:val="both"/>
        <w:rPr>
          <w:rFonts w:ascii="Century Schoolbook" w:eastAsia="PMingLiU" w:hAnsi="Century Schoolbook" w:cs="PMingLiU"/>
          <w:sz w:val="26"/>
          <w:szCs w:val="26"/>
        </w:rPr>
      </w:pPr>
    </w:p>
    <w:p w:rsidR="006F7688" w:rsidRPr="00AA35D5" w:rsidRDefault="006F7688" w:rsidP="006F7688">
      <w:pPr>
        <w:widowControl/>
        <w:tabs>
          <w:tab w:val="center" w:pos="4680"/>
        </w:tabs>
        <w:spacing w:line="360" w:lineRule="auto"/>
        <w:jc w:val="center"/>
        <w:rPr>
          <w:rFonts w:ascii="Century Schoolbook" w:eastAsia="PMingLiU" w:hAnsi="Century Schoolbook" w:cs="PMingLiU"/>
          <w:sz w:val="26"/>
          <w:szCs w:val="26"/>
        </w:rPr>
      </w:pPr>
      <w:r>
        <w:rPr>
          <w:rFonts w:ascii="Century Schoolbook" w:eastAsia="PMingLiU" w:hAnsi="Century Schoolbook" w:cs="PMingLiU"/>
          <w:sz w:val="26"/>
          <w:szCs w:val="26"/>
        </w:rPr>
        <w:t>I</w:t>
      </w:r>
      <w:r w:rsidRPr="00AA35D5">
        <w:rPr>
          <w:rFonts w:ascii="Century Schoolbook" w:eastAsia="PMingLiU" w:hAnsi="Century Schoolbook" w:cs="PMingLiU"/>
          <w:sz w:val="26"/>
          <w:szCs w:val="26"/>
        </w:rPr>
        <w:t>I.</w:t>
      </w:r>
    </w:p>
    <w:p w:rsidR="0014720E" w:rsidRDefault="006F7688" w:rsidP="006F7688">
      <w:pPr>
        <w:widowControl/>
        <w:spacing w:line="360" w:lineRule="auto"/>
        <w:ind w:firstLine="720"/>
        <w:jc w:val="both"/>
        <w:rPr>
          <w:rFonts w:ascii="Century Schoolbook" w:hAnsi="Century Schoolbook"/>
          <w:sz w:val="26"/>
        </w:rPr>
      </w:pPr>
      <w:r w:rsidRPr="006F7688">
        <w:rPr>
          <w:rFonts w:ascii="Century Schoolbook" w:eastAsia="PMingLiU" w:hAnsi="Century Schoolbook" w:cs="PMingLiU"/>
          <w:sz w:val="26"/>
          <w:szCs w:val="26"/>
        </w:rPr>
        <w:t xml:space="preserve">As a threshold issue, this court must first examine the basis of its jurisdiction.  </w:t>
      </w:r>
      <w:r w:rsidRPr="006F7688">
        <w:rPr>
          <w:rFonts w:ascii="Century Schoolbook" w:eastAsia="PMingLiU" w:hAnsi="Century Schoolbook" w:cs="PMingLiU"/>
          <w:i/>
          <w:sz w:val="26"/>
          <w:szCs w:val="26"/>
        </w:rPr>
        <w:t xml:space="preserve">See Mosley v. </w:t>
      </w:r>
      <w:proofErr w:type="spellStart"/>
      <w:r w:rsidRPr="006F7688">
        <w:rPr>
          <w:rFonts w:ascii="Century Schoolbook" w:eastAsia="PMingLiU" w:hAnsi="Century Schoolbook" w:cs="PMingLiU"/>
          <w:i/>
          <w:sz w:val="26"/>
          <w:szCs w:val="26"/>
        </w:rPr>
        <w:t>Cozby</w:t>
      </w:r>
      <w:proofErr w:type="spellEnd"/>
      <w:r w:rsidRPr="006F7688">
        <w:rPr>
          <w:rFonts w:ascii="Century Schoolbook" w:eastAsia="PMingLiU" w:hAnsi="Century Schoolbook" w:cs="PMingLiU"/>
          <w:sz w:val="26"/>
          <w:szCs w:val="26"/>
        </w:rPr>
        <w:t xml:space="preserve">, 813 F.2d 659, 660 (5th Cir. 1987).  A timely “notice of appeal in a civil case is a jurisdictional requirement.”  </w:t>
      </w:r>
      <w:r w:rsidRPr="006F7688">
        <w:rPr>
          <w:rFonts w:ascii="Century Schoolbook" w:eastAsia="PMingLiU" w:hAnsi="Century Schoolbook" w:cs="PMingLiU"/>
          <w:i/>
          <w:sz w:val="26"/>
          <w:szCs w:val="26"/>
        </w:rPr>
        <w:t>Bowles v. Russell</w:t>
      </w:r>
      <w:r w:rsidRPr="006F7688">
        <w:rPr>
          <w:rFonts w:ascii="Century Schoolbook" w:eastAsia="PMingLiU" w:hAnsi="Century Schoolbook" w:cs="PMingLiU"/>
          <w:sz w:val="26"/>
          <w:szCs w:val="26"/>
        </w:rPr>
        <w:t xml:space="preserve">, 551 U.S. 205, 214 (2007).  A notice of appeal in a civil action must be filed within 30 days of entry of the judgment from which the appeal is taken.  </w:t>
      </w:r>
      <w:r w:rsidRPr="00A86377">
        <w:rPr>
          <w:rFonts w:ascii="Century Schoolbook" w:eastAsia="PMingLiU" w:hAnsi="Century Schoolbook" w:cs="PMingLiU"/>
          <w:smallCaps/>
          <w:sz w:val="26"/>
          <w:szCs w:val="26"/>
        </w:rPr>
        <w:t xml:space="preserve">Fed. R. App. P. </w:t>
      </w:r>
      <w:r w:rsidRPr="006F7688">
        <w:rPr>
          <w:rFonts w:ascii="Century Schoolbook" w:eastAsia="PMingLiU" w:hAnsi="Century Schoolbook" w:cs="PMingLiU"/>
          <w:sz w:val="26"/>
          <w:szCs w:val="26"/>
        </w:rPr>
        <w:t>4(a</w:t>
      </w:r>
      <w:proofErr w:type="gramStart"/>
      <w:r w:rsidRPr="006F7688">
        <w:rPr>
          <w:rFonts w:ascii="Century Schoolbook" w:eastAsia="PMingLiU" w:hAnsi="Century Schoolbook" w:cs="PMingLiU"/>
          <w:sz w:val="26"/>
          <w:szCs w:val="26"/>
        </w:rPr>
        <w:t>)(</w:t>
      </w:r>
      <w:proofErr w:type="gramEnd"/>
      <w:r w:rsidRPr="006F7688">
        <w:rPr>
          <w:rFonts w:ascii="Century Schoolbook" w:eastAsia="PMingLiU" w:hAnsi="Century Schoolbook" w:cs="PMingLiU"/>
          <w:sz w:val="26"/>
          <w:szCs w:val="26"/>
        </w:rPr>
        <w:t>1)(A).</w:t>
      </w:r>
      <w:r w:rsidR="003F5101">
        <w:rPr>
          <w:rFonts w:ascii="Century Schoolbook" w:eastAsia="PMingLiU" w:hAnsi="Century Schoolbook" w:cs="PMingLiU"/>
          <w:sz w:val="26"/>
          <w:szCs w:val="26"/>
        </w:rPr>
        <w:t xml:space="preserve">  </w:t>
      </w:r>
      <w:r w:rsidR="00A86377">
        <w:rPr>
          <w:rFonts w:ascii="Century Schoolbook" w:eastAsia="PMingLiU" w:hAnsi="Century Schoolbook" w:cs="PMingLiU"/>
          <w:sz w:val="26"/>
          <w:szCs w:val="26"/>
        </w:rPr>
        <w:t xml:space="preserve">However, </w:t>
      </w:r>
      <w:r w:rsidR="004F5F28">
        <w:rPr>
          <w:rFonts w:ascii="Century Schoolbook" w:eastAsia="PMingLiU" w:hAnsi="Century Schoolbook" w:cs="PMingLiU"/>
          <w:sz w:val="26"/>
          <w:szCs w:val="26"/>
        </w:rPr>
        <w:t xml:space="preserve">certain </w:t>
      </w:r>
      <w:proofErr w:type="spellStart"/>
      <w:r w:rsidR="004F5F28">
        <w:rPr>
          <w:rFonts w:ascii="Century Schoolbook" w:eastAsia="PMingLiU" w:hAnsi="Century Schoolbook" w:cs="PMingLiU"/>
          <w:sz w:val="26"/>
          <w:szCs w:val="26"/>
        </w:rPr>
        <w:t>postjudgment</w:t>
      </w:r>
      <w:proofErr w:type="spellEnd"/>
      <w:r w:rsidR="004F5F28">
        <w:rPr>
          <w:rFonts w:ascii="Century Schoolbook" w:eastAsia="PMingLiU" w:hAnsi="Century Schoolbook" w:cs="PMingLiU"/>
          <w:sz w:val="26"/>
          <w:szCs w:val="26"/>
        </w:rPr>
        <w:t xml:space="preserve"> motions, including </w:t>
      </w:r>
      <w:r w:rsidR="00A86377">
        <w:rPr>
          <w:rFonts w:ascii="Century Schoolbook" w:eastAsia="PMingLiU" w:hAnsi="Century Schoolbook" w:cs="PMingLiU"/>
          <w:sz w:val="26"/>
          <w:szCs w:val="26"/>
        </w:rPr>
        <w:t xml:space="preserve">a motion to alter or amend </w:t>
      </w:r>
      <w:r w:rsidR="004F5F28">
        <w:rPr>
          <w:rFonts w:ascii="Century Schoolbook" w:eastAsia="PMingLiU" w:hAnsi="Century Schoolbook" w:cs="PMingLiU"/>
          <w:sz w:val="26"/>
          <w:szCs w:val="26"/>
        </w:rPr>
        <w:t>the</w:t>
      </w:r>
      <w:r w:rsidR="00A86377">
        <w:rPr>
          <w:rFonts w:ascii="Century Schoolbook" w:eastAsia="PMingLiU" w:hAnsi="Century Schoolbook" w:cs="PMingLiU"/>
          <w:sz w:val="26"/>
          <w:szCs w:val="26"/>
        </w:rPr>
        <w:t xml:space="preserve"> judgment under</w:t>
      </w:r>
      <w:r w:rsidR="00A86377">
        <w:rPr>
          <w:rFonts w:ascii="Century Schoolbook" w:eastAsia="PMingLiU" w:hAnsi="Century Schoolbook" w:cs="PMingLiU"/>
          <w:smallCaps/>
          <w:sz w:val="26"/>
          <w:szCs w:val="26"/>
        </w:rPr>
        <w:t xml:space="preserve"> </w:t>
      </w:r>
      <w:r w:rsidR="00A86377" w:rsidRPr="00A86377">
        <w:rPr>
          <w:rFonts w:ascii="Century Schoolbook" w:eastAsia="PMingLiU" w:hAnsi="Century Schoolbook" w:cs="PMingLiU"/>
          <w:smallCaps/>
          <w:sz w:val="26"/>
          <w:szCs w:val="26"/>
        </w:rPr>
        <w:t>Fed. R. Civ. P.</w:t>
      </w:r>
      <w:r w:rsidR="00A86377" w:rsidRPr="004F5F28">
        <w:rPr>
          <w:rFonts w:ascii="Century Schoolbook" w:eastAsia="PMingLiU" w:hAnsi="Century Schoolbook" w:cs="PMingLiU"/>
          <w:sz w:val="26"/>
          <w:szCs w:val="26"/>
        </w:rPr>
        <w:t xml:space="preserve"> </w:t>
      </w:r>
      <w:r w:rsidR="004F5F28" w:rsidRPr="004F5F28">
        <w:rPr>
          <w:rFonts w:ascii="Century Schoolbook" w:eastAsia="PMingLiU" w:hAnsi="Century Schoolbook" w:cs="PMingLiU"/>
          <w:sz w:val="26"/>
          <w:szCs w:val="26"/>
        </w:rPr>
        <w:t>59(e)</w:t>
      </w:r>
      <w:r w:rsidR="004F5F28">
        <w:rPr>
          <w:rFonts w:ascii="Century Schoolbook" w:eastAsia="PMingLiU" w:hAnsi="Century Schoolbook" w:cs="PMingLiU"/>
          <w:sz w:val="26"/>
          <w:szCs w:val="26"/>
        </w:rPr>
        <w:t>, may extend the time for filing an appeal</w:t>
      </w:r>
      <w:r w:rsidR="00B34477">
        <w:rPr>
          <w:rFonts w:ascii="Century Schoolbook" w:eastAsia="PMingLiU" w:hAnsi="Century Schoolbook" w:cs="PMingLiU"/>
          <w:sz w:val="26"/>
          <w:szCs w:val="26"/>
        </w:rPr>
        <w:t xml:space="preserve">.  </w:t>
      </w:r>
      <w:r w:rsidR="00B34477">
        <w:rPr>
          <w:rFonts w:ascii="Century Schoolbook" w:eastAsia="PMingLiU" w:hAnsi="Century Schoolbook" w:cs="PMingLiU"/>
          <w:i/>
          <w:sz w:val="26"/>
          <w:szCs w:val="26"/>
        </w:rPr>
        <w:t xml:space="preserve">See </w:t>
      </w:r>
      <w:r w:rsidR="004F5F28">
        <w:rPr>
          <w:rFonts w:ascii="Century Schoolbook" w:eastAsia="PMingLiU" w:hAnsi="Century Schoolbook" w:cs="PMingLiU"/>
          <w:sz w:val="26"/>
          <w:szCs w:val="26"/>
        </w:rPr>
        <w:t>Fed. R. App. P. 4(a</w:t>
      </w:r>
      <w:proofErr w:type="gramStart"/>
      <w:r w:rsidR="004F5F28">
        <w:rPr>
          <w:rFonts w:ascii="Century Schoolbook" w:eastAsia="PMingLiU" w:hAnsi="Century Schoolbook" w:cs="PMingLiU"/>
          <w:sz w:val="26"/>
          <w:szCs w:val="26"/>
        </w:rPr>
        <w:t>)(</w:t>
      </w:r>
      <w:proofErr w:type="gramEnd"/>
      <w:r w:rsidR="004F5F28">
        <w:rPr>
          <w:rFonts w:ascii="Century Schoolbook" w:eastAsia="PMingLiU" w:hAnsi="Century Schoolbook" w:cs="PMingLiU"/>
          <w:sz w:val="26"/>
          <w:szCs w:val="26"/>
        </w:rPr>
        <w:t>4)(A)(iv).</w:t>
      </w:r>
      <w:r w:rsidR="00540885">
        <w:rPr>
          <w:rFonts w:ascii="Century Schoolbook" w:eastAsia="PMingLiU" w:hAnsi="Century Schoolbook" w:cs="PMingLiU"/>
          <w:sz w:val="26"/>
          <w:szCs w:val="26"/>
        </w:rPr>
        <w:t xml:space="preserve">  </w:t>
      </w:r>
      <w:r w:rsidR="004130B0">
        <w:rPr>
          <w:rFonts w:ascii="Century Schoolbook" w:eastAsia="PMingLiU" w:hAnsi="Century Schoolbook" w:cs="PMingLiU"/>
          <w:sz w:val="26"/>
          <w:szCs w:val="26"/>
        </w:rPr>
        <w:t>A</w:t>
      </w:r>
      <w:r w:rsidR="00540885" w:rsidRPr="00540885">
        <w:rPr>
          <w:rFonts w:ascii="Century Schoolbook" w:hAnsi="Century Schoolbook"/>
          <w:sz w:val="26"/>
        </w:rPr>
        <w:t xml:space="preserve"> motion for reconsideration of a district court’s judgment is treated as a Rule 59(e) motion for purposes of </w:t>
      </w:r>
      <w:r w:rsidR="00540885" w:rsidRPr="00FA1764">
        <w:rPr>
          <w:rFonts w:ascii="Century Schoolbook" w:hAnsi="Century Schoolbook"/>
          <w:smallCaps/>
          <w:sz w:val="26"/>
        </w:rPr>
        <w:t>Fed. R. App. P</w:t>
      </w:r>
      <w:r w:rsidR="00540885">
        <w:rPr>
          <w:rFonts w:ascii="Century Schoolbook" w:hAnsi="Century Schoolbook"/>
          <w:sz w:val="26"/>
        </w:rPr>
        <w:t>.</w:t>
      </w:r>
      <w:r w:rsidR="00540885" w:rsidRPr="00540885">
        <w:rPr>
          <w:rFonts w:ascii="Century Schoolbook" w:hAnsi="Century Schoolbook"/>
          <w:sz w:val="26"/>
        </w:rPr>
        <w:t xml:space="preserve"> 4(a)(4), regardless of the label applied to the motion, if it is made within the 28-day time limit for filing Rule 59(e) motions.  </w:t>
      </w:r>
      <w:proofErr w:type="spellStart"/>
      <w:r w:rsidR="00540885" w:rsidRPr="00540885">
        <w:rPr>
          <w:rFonts w:ascii="Century Schoolbook" w:hAnsi="Century Schoolbook"/>
          <w:i/>
          <w:sz w:val="26"/>
        </w:rPr>
        <w:t>Mangieri</w:t>
      </w:r>
      <w:proofErr w:type="spellEnd"/>
      <w:r w:rsidR="00540885" w:rsidRPr="00540885">
        <w:rPr>
          <w:rFonts w:ascii="Century Schoolbook" w:hAnsi="Century Schoolbook"/>
          <w:i/>
          <w:sz w:val="26"/>
        </w:rPr>
        <w:t xml:space="preserve"> v. Clifton</w:t>
      </w:r>
      <w:r w:rsidR="00540885" w:rsidRPr="00540885">
        <w:rPr>
          <w:rFonts w:ascii="Century Schoolbook" w:hAnsi="Century Schoolbook"/>
          <w:sz w:val="26"/>
        </w:rPr>
        <w:t>, 29 F.3d 1012, 1015 n.5 (5th Cir. 1994) (applying the former 10-day period for fi</w:t>
      </w:r>
      <w:r w:rsidR="00B70EC5">
        <w:rPr>
          <w:rFonts w:ascii="Century Schoolbook" w:hAnsi="Century Schoolbook"/>
          <w:sz w:val="26"/>
        </w:rPr>
        <w:t>ling a motion under Rule 59(e)).</w:t>
      </w:r>
      <w:r w:rsidR="0014720E">
        <w:rPr>
          <w:rFonts w:ascii="Century Schoolbook" w:hAnsi="Century Schoolbook"/>
          <w:sz w:val="26"/>
        </w:rPr>
        <w:t xml:space="preserve">  </w:t>
      </w:r>
      <w:r w:rsidR="00B70EC5" w:rsidRPr="00B70EC5">
        <w:rPr>
          <w:rFonts w:ascii="Century Schoolbook" w:hAnsi="Century Schoolbook"/>
          <w:sz w:val="26"/>
        </w:rPr>
        <w:t xml:space="preserve">A timely appeal from the denial of Rule 59 relief is treated as an appeal from “the </w:t>
      </w:r>
      <w:r w:rsidR="00B70EC5" w:rsidRPr="00B70EC5">
        <w:rPr>
          <w:rFonts w:ascii="Century Schoolbook" w:hAnsi="Century Schoolbook"/>
          <w:sz w:val="26"/>
        </w:rPr>
        <w:lastRenderedPageBreak/>
        <w:t xml:space="preserve">underlying judgment when the intent to do so [is] clear.”  </w:t>
      </w:r>
      <w:r w:rsidR="00B70EC5" w:rsidRPr="00B70EC5">
        <w:rPr>
          <w:rFonts w:ascii="Century Schoolbook" w:hAnsi="Century Schoolbook"/>
          <w:i/>
          <w:sz w:val="26"/>
        </w:rPr>
        <w:t xml:space="preserve">In re Blast Energy </w:t>
      </w:r>
      <w:proofErr w:type="spellStart"/>
      <w:r w:rsidR="00B70EC5" w:rsidRPr="00B70EC5">
        <w:rPr>
          <w:rFonts w:ascii="Century Schoolbook" w:hAnsi="Century Schoolbook"/>
          <w:i/>
          <w:sz w:val="26"/>
        </w:rPr>
        <w:t>Servs</w:t>
      </w:r>
      <w:proofErr w:type="spellEnd"/>
      <w:r w:rsidR="00B70EC5" w:rsidRPr="00B70EC5">
        <w:rPr>
          <w:rFonts w:ascii="Century Schoolbook" w:hAnsi="Century Schoolbook"/>
          <w:i/>
          <w:sz w:val="26"/>
        </w:rPr>
        <w:t>., Inc</w:t>
      </w:r>
      <w:r w:rsidR="00B70EC5" w:rsidRPr="00B70EC5">
        <w:rPr>
          <w:rFonts w:ascii="Century Schoolbook" w:hAnsi="Century Schoolbook"/>
          <w:sz w:val="26"/>
        </w:rPr>
        <w:t>., 593 F.3d</w:t>
      </w:r>
      <w:r w:rsidR="0014720E">
        <w:rPr>
          <w:rFonts w:ascii="Century Schoolbook" w:hAnsi="Century Schoolbook"/>
          <w:sz w:val="26"/>
        </w:rPr>
        <w:t xml:space="preserve"> 418, 424 n.3 (5th Cir. 2010).</w:t>
      </w:r>
    </w:p>
    <w:p w:rsidR="00225E1E" w:rsidRDefault="00540885" w:rsidP="00640360">
      <w:pPr>
        <w:widowControl/>
        <w:spacing w:line="360" w:lineRule="auto"/>
        <w:ind w:firstLine="720"/>
        <w:jc w:val="both"/>
        <w:rPr>
          <w:rFonts w:ascii="Century Schoolbook" w:hAnsi="Century Schoolbook"/>
          <w:sz w:val="26"/>
        </w:rPr>
      </w:pPr>
      <w:r>
        <w:rPr>
          <w:rFonts w:ascii="Century Schoolbook" w:eastAsia="PMingLiU" w:hAnsi="Century Schoolbook" w:cs="PMingLiU"/>
          <w:sz w:val="26"/>
          <w:szCs w:val="26"/>
        </w:rPr>
        <w:t xml:space="preserve">Although </w:t>
      </w:r>
      <w:r w:rsidR="00B34477" w:rsidRPr="00B34477">
        <w:rPr>
          <w:rFonts w:ascii="Century Schoolbook" w:eastAsia="PMingLiU" w:hAnsi="Century Schoolbook" w:cs="PMingLiU"/>
          <w:sz w:val="26"/>
          <w:szCs w:val="26"/>
        </w:rPr>
        <w:t>Hanna did not file a notice of appeal until nearly six months after entry of the October</w:t>
      </w:r>
      <w:r>
        <w:rPr>
          <w:rFonts w:ascii="Century Schoolbook" w:eastAsia="PMingLiU" w:hAnsi="Century Schoolbook" w:cs="PMingLiU"/>
          <w:sz w:val="26"/>
          <w:szCs w:val="26"/>
        </w:rPr>
        <w:t xml:space="preserve"> 21,</w:t>
      </w:r>
      <w:r w:rsidR="00B34477" w:rsidRPr="00B34477">
        <w:rPr>
          <w:rFonts w:ascii="Century Schoolbook" w:eastAsia="PMingLiU" w:hAnsi="Century Schoolbook" w:cs="PMingLiU"/>
          <w:sz w:val="26"/>
          <w:szCs w:val="26"/>
        </w:rPr>
        <w:t xml:space="preserve"> 2011 judgment dismissing his § 1983 </w:t>
      </w:r>
      <w:r w:rsidR="00FA1764">
        <w:rPr>
          <w:rFonts w:ascii="Century Schoolbook" w:eastAsia="PMingLiU" w:hAnsi="Century Schoolbook" w:cs="PMingLiU"/>
          <w:sz w:val="26"/>
          <w:szCs w:val="26"/>
        </w:rPr>
        <w:t xml:space="preserve">retaliation </w:t>
      </w:r>
      <w:r w:rsidR="00B34477" w:rsidRPr="00B34477">
        <w:rPr>
          <w:rFonts w:ascii="Century Schoolbook" w:eastAsia="PMingLiU" w:hAnsi="Century Schoolbook" w:cs="PMingLiU"/>
          <w:sz w:val="26"/>
          <w:szCs w:val="26"/>
        </w:rPr>
        <w:t>action</w:t>
      </w:r>
      <w:r>
        <w:rPr>
          <w:rFonts w:ascii="Century Schoolbook" w:eastAsia="PMingLiU" w:hAnsi="Century Schoolbook" w:cs="PMingLiU"/>
          <w:sz w:val="26"/>
          <w:szCs w:val="26"/>
        </w:rPr>
        <w:t>, he</w:t>
      </w:r>
      <w:r w:rsidR="006C476D">
        <w:rPr>
          <w:rFonts w:ascii="Century Schoolbook" w:eastAsia="PMingLiU" w:hAnsi="Century Schoolbook" w:cs="PMingLiU"/>
          <w:sz w:val="26"/>
          <w:szCs w:val="26"/>
        </w:rPr>
        <w:t xml:space="preserve"> filed the notice of appeal within 30 days of entry of the district court’s </w:t>
      </w:r>
      <w:r w:rsidR="00B70EC5">
        <w:rPr>
          <w:rFonts w:ascii="Century Schoolbook" w:eastAsia="PMingLiU" w:hAnsi="Century Schoolbook" w:cs="PMingLiU"/>
          <w:sz w:val="26"/>
          <w:szCs w:val="26"/>
        </w:rPr>
        <w:t xml:space="preserve">order </w:t>
      </w:r>
      <w:r w:rsidR="00FA1764">
        <w:rPr>
          <w:rFonts w:ascii="Century Schoolbook" w:eastAsia="PMingLiU" w:hAnsi="Century Schoolbook" w:cs="PMingLiU"/>
          <w:sz w:val="26"/>
          <w:szCs w:val="26"/>
        </w:rPr>
        <w:t>disposing of</w:t>
      </w:r>
      <w:r w:rsidR="00225E1E">
        <w:rPr>
          <w:rFonts w:ascii="Century Schoolbook" w:eastAsia="PMingLiU" w:hAnsi="Century Schoolbook" w:cs="PMingLiU"/>
          <w:sz w:val="26"/>
          <w:szCs w:val="26"/>
        </w:rPr>
        <w:t xml:space="preserve"> his appeal to the district court of the magistrate judge’s </w:t>
      </w:r>
      <w:r w:rsidR="00FA1764">
        <w:rPr>
          <w:rFonts w:ascii="Century Schoolbook" w:eastAsia="PMingLiU" w:hAnsi="Century Schoolbook" w:cs="PMingLiU"/>
          <w:sz w:val="26"/>
          <w:szCs w:val="26"/>
        </w:rPr>
        <w:t>decisions</w:t>
      </w:r>
      <w:r>
        <w:rPr>
          <w:rFonts w:ascii="Century Schoolbook" w:eastAsia="PMingLiU" w:hAnsi="Century Schoolbook" w:cs="PMingLiU"/>
          <w:sz w:val="26"/>
          <w:szCs w:val="26"/>
        </w:rPr>
        <w:t>.</w:t>
      </w:r>
      <w:r w:rsidR="0014720E">
        <w:rPr>
          <w:rFonts w:ascii="Century Schoolbook" w:eastAsia="PMingLiU" w:hAnsi="Century Schoolbook" w:cs="PMingLiU"/>
          <w:sz w:val="26"/>
          <w:szCs w:val="26"/>
        </w:rPr>
        <w:t xml:space="preserve">  </w:t>
      </w:r>
      <w:r w:rsidR="004335AF">
        <w:rPr>
          <w:rFonts w:ascii="Century Schoolbook" w:hAnsi="Century Schoolbook"/>
          <w:sz w:val="26"/>
        </w:rPr>
        <w:t>I</w:t>
      </w:r>
      <w:r w:rsidR="0014720E" w:rsidRPr="00B70EC5">
        <w:rPr>
          <w:rFonts w:ascii="Century Schoolbook" w:hAnsi="Century Schoolbook"/>
          <w:sz w:val="26"/>
        </w:rPr>
        <w:t>f Hanna’s motion is c</w:t>
      </w:r>
      <w:r w:rsidR="00225E1E">
        <w:rPr>
          <w:rFonts w:ascii="Century Schoolbook" w:hAnsi="Century Schoolbook"/>
          <w:sz w:val="26"/>
        </w:rPr>
        <w:t xml:space="preserve">onstrued as a Rule 59(e) motion, then his notice of appeal </w:t>
      </w:r>
      <w:r w:rsidR="004335AF">
        <w:rPr>
          <w:rFonts w:ascii="Century Schoolbook" w:hAnsi="Century Schoolbook"/>
          <w:sz w:val="26"/>
        </w:rPr>
        <w:t xml:space="preserve">filed within 30 days of its final resolution </w:t>
      </w:r>
      <w:r w:rsidR="00225E1E">
        <w:rPr>
          <w:rFonts w:ascii="Century Schoolbook" w:hAnsi="Century Schoolbook"/>
          <w:sz w:val="26"/>
        </w:rPr>
        <w:t>is deemed timely.</w:t>
      </w:r>
    </w:p>
    <w:p w:rsidR="006F7688" w:rsidRDefault="00225E1E" w:rsidP="00640360">
      <w:pPr>
        <w:widowControl/>
        <w:spacing w:line="360" w:lineRule="auto"/>
        <w:ind w:firstLine="720"/>
        <w:jc w:val="both"/>
        <w:rPr>
          <w:rFonts w:ascii="Century Schoolbook" w:hAnsi="Century Schoolbook"/>
          <w:sz w:val="26"/>
        </w:rPr>
      </w:pPr>
      <w:r>
        <w:rPr>
          <w:rFonts w:ascii="Century Schoolbook" w:eastAsia="PMingLiU" w:hAnsi="Century Schoolbook" w:cs="PMingLiU"/>
          <w:sz w:val="26"/>
          <w:szCs w:val="26"/>
        </w:rPr>
        <w:t xml:space="preserve">Hanna’s pleadings </w:t>
      </w:r>
      <w:r w:rsidR="004335AF">
        <w:rPr>
          <w:rFonts w:ascii="Century Schoolbook" w:eastAsia="PMingLiU" w:hAnsi="Century Schoolbook" w:cs="PMingLiU"/>
          <w:sz w:val="26"/>
          <w:szCs w:val="26"/>
        </w:rPr>
        <w:t>at the district court</w:t>
      </w:r>
      <w:r>
        <w:rPr>
          <w:rFonts w:ascii="Century Schoolbook" w:eastAsia="PMingLiU" w:hAnsi="Century Schoolbook" w:cs="PMingLiU"/>
          <w:sz w:val="26"/>
          <w:szCs w:val="26"/>
        </w:rPr>
        <w:t xml:space="preserve"> were not models of precision, but we construe them liberally because he is proceeding </w:t>
      </w:r>
      <w:r w:rsidRPr="002B1D52">
        <w:rPr>
          <w:rFonts w:ascii="Century Schoolbook" w:eastAsia="PMingLiU" w:hAnsi="Century Schoolbook" w:cs="PMingLiU"/>
          <w:i/>
          <w:sz w:val="26"/>
          <w:szCs w:val="26"/>
        </w:rPr>
        <w:t>pro se</w:t>
      </w:r>
      <w:r>
        <w:rPr>
          <w:rFonts w:ascii="Century Schoolbook" w:eastAsia="PMingLiU" w:hAnsi="Century Schoolbook" w:cs="PMingLiU"/>
          <w:sz w:val="26"/>
          <w:szCs w:val="26"/>
        </w:rPr>
        <w:t xml:space="preserve">.  </w:t>
      </w:r>
      <w:r>
        <w:rPr>
          <w:rFonts w:ascii="Century Schoolbook" w:eastAsia="PMingLiU" w:hAnsi="Century Schoolbook" w:cs="PMingLiU"/>
          <w:i/>
          <w:sz w:val="26"/>
          <w:szCs w:val="26"/>
        </w:rPr>
        <w:t xml:space="preserve">See, e.g., </w:t>
      </w:r>
      <w:r w:rsidRPr="005118CB">
        <w:rPr>
          <w:rFonts w:ascii="Century Schoolbook" w:eastAsia="PMingLiU" w:hAnsi="Century Schoolbook" w:cs="PMingLiU"/>
          <w:i/>
          <w:sz w:val="26"/>
          <w:szCs w:val="26"/>
        </w:rPr>
        <w:t>United States v. Weathersby</w:t>
      </w:r>
      <w:r w:rsidRPr="005118CB">
        <w:rPr>
          <w:rFonts w:ascii="Century Schoolbook" w:eastAsia="PMingLiU" w:hAnsi="Century Schoolbook" w:cs="PMingLiU"/>
          <w:sz w:val="26"/>
          <w:szCs w:val="26"/>
        </w:rPr>
        <w:t>, 958 F.2d 65, 66 (5th Cir. 1992)</w:t>
      </w:r>
      <w:r>
        <w:rPr>
          <w:rFonts w:ascii="Century Schoolbook" w:eastAsia="PMingLiU" w:hAnsi="Century Schoolbook" w:cs="PMingLiU"/>
          <w:sz w:val="26"/>
          <w:szCs w:val="26"/>
        </w:rPr>
        <w:t xml:space="preserve"> (construing a </w:t>
      </w:r>
      <w:r w:rsidRPr="00225E1E">
        <w:rPr>
          <w:rFonts w:ascii="Century Schoolbook" w:eastAsia="PMingLiU" w:hAnsi="Century Schoolbook" w:cs="PMingLiU"/>
          <w:i/>
          <w:sz w:val="26"/>
          <w:szCs w:val="26"/>
        </w:rPr>
        <w:t>pro se</w:t>
      </w:r>
      <w:r>
        <w:rPr>
          <w:rFonts w:ascii="Century Schoolbook" w:eastAsia="PMingLiU" w:hAnsi="Century Schoolbook" w:cs="PMingLiU"/>
          <w:sz w:val="26"/>
          <w:szCs w:val="26"/>
        </w:rPr>
        <w:t xml:space="preserve"> motion improperly invoking 28 </w:t>
      </w:r>
      <w:proofErr w:type="spellStart"/>
      <w:r>
        <w:rPr>
          <w:rFonts w:ascii="Century Schoolbook" w:eastAsia="PMingLiU" w:hAnsi="Century Schoolbook" w:cs="PMingLiU"/>
          <w:sz w:val="26"/>
          <w:szCs w:val="26"/>
        </w:rPr>
        <w:t>U.S.C</w:t>
      </w:r>
      <w:proofErr w:type="spellEnd"/>
      <w:r>
        <w:rPr>
          <w:rFonts w:ascii="Century Schoolbook" w:eastAsia="PMingLiU" w:hAnsi="Century Schoolbook" w:cs="PMingLiU"/>
          <w:sz w:val="26"/>
          <w:szCs w:val="26"/>
        </w:rPr>
        <w:t xml:space="preserve">. § 2241 as one instead invoking 28 </w:t>
      </w:r>
      <w:proofErr w:type="spellStart"/>
      <w:r>
        <w:rPr>
          <w:rFonts w:ascii="Century Schoolbook" w:eastAsia="PMingLiU" w:hAnsi="Century Schoolbook" w:cs="PMingLiU"/>
          <w:sz w:val="26"/>
          <w:szCs w:val="26"/>
        </w:rPr>
        <w:t>U.S.C</w:t>
      </w:r>
      <w:proofErr w:type="spellEnd"/>
      <w:r>
        <w:rPr>
          <w:rFonts w:ascii="Century Schoolbook" w:eastAsia="PMingLiU" w:hAnsi="Century Schoolbook" w:cs="PMingLiU"/>
          <w:sz w:val="26"/>
          <w:szCs w:val="26"/>
        </w:rPr>
        <w:t>. §</w:t>
      </w:r>
      <w:r w:rsidR="00C30754">
        <w:rPr>
          <w:rFonts w:ascii="Century Schoolbook" w:eastAsia="PMingLiU" w:hAnsi="Century Schoolbook" w:cs="PMingLiU"/>
          <w:sz w:val="26"/>
          <w:szCs w:val="26"/>
        </w:rPr>
        <w:t> </w:t>
      </w:r>
      <w:r>
        <w:rPr>
          <w:rFonts w:ascii="Century Schoolbook" w:eastAsia="PMingLiU" w:hAnsi="Century Schoolbook" w:cs="PMingLiU"/>
          <w:sz w:val="26"/>
          <w:szCs w:val="26"/>
        </w:rPr>
        <w:t>2255);</w:t>
      </w:r>
      <w:r>
        <w:rPr>
          <w:rFonts w:ascii="Century Schoolbook" w:eastAsia="PMingLiU" w:hAnsi="Century Schoolbook" w:cs="PMingLiU"/>
          <w:i/>
          <w:sz w:val="26"/>
          <w:szCs w:val="26"/>
        </w:rPr>
        <w:t xml:space="preserve"> United States v. </w:t>
      </w:r>
      <w:proofErr w:type="spellStart"/>
      <w:r>
        <w:rPr>
          <w:rFonts w:ascii="Century Schoolbook" w:eastAsia="PMingLiU" w:hAnsi="Century Schoolbook" w:cs="PMingLiU"/>
          <w:i/>
          <w:sz w:val="26"/>
          <w:szCs w:val="26"/>
        </w:rPr>
        <w:t>Santora</w:t>
      </w:r>
      <w:proofErr w:type="spellEnd"/>
      <w:r>
        <w:rPr>
          <w:rFonts w:ascii="Century Schoolbook" w:eastAsia="PMingLiU" w:hAnsi="Century Schoolbook" w:cs="PMingLiU"/>
          <w:sz w:val="26"/>
          <w:szCs w:val="26"/>
        </w:rPr>
        <w:t xml:space="preserve">, 711 F.2d 41, 42 (5th Cir. 1983) (“Mindful of the liberality accorded </w:t>
      </w:r>
      <w:r>
        <w:rPr>
          <w:rFonts w:ascii="Century Schoolbook" w:eastAsia="PMingLiU" w:hAnsi="Century Schoolbook" w:cs="PMingLiU"/>
          <w:i/>
          <w:sz w:val="26"/>
          <w:szCs w:val="26"/>
        </w:rPr>
        <w:t>pro se</w:t>
      </w:r>
      <w:r>
        <w:rPr>
          <w:rFonts w:ascii="Century Schoolbook" w:eastAsia="PMingLiU" w:hAnsi="Century Schoolbook" w:cs="PMingLiU"/>
          <w:sz w:val="26"/>
          <w:szCs w:val="26"/>
        </w:rPr>
        <w:t xml:space="preserve"> filings, we therefore elect to construe </w:t>
      </w:r>
      <w:proofErr w:type="spellStart"/>
      <w:r>
        <w:rPr>
          <w:rFonts w:ascii="Century Schoolbook" w:eastAsia="PMingLiU" w:hAnsi="Century Schoolbook" w:cs="PMingLiU"/>
          <w:sz w:val="26"/>
          <w:szCs w:val="26"/>
        </w:rPr>
        <w:t>Santora’s</w:t>
      </w:r>
      <w:proofErr w:type="spellEnd"/>
      <w:r>
        <w:rPr>
          <w:rFonts w:ascii="Century Schoolbook" w:eastAsia="PMingLiU" w:hAnsi="Century Schoolbook" w:cs="PMingLiU"/>
          <w:sz w:val="26"/>
          <w:szCs w:val="26"/>
        </w:rPr>
        <w:t xml:space="preserve"> ill-styled Rule 35 pleading as a request for relief under § 2255.”).   </w:t>
      </w:r>
      <w:r w:rsidR="00540885">
        <w:rPr>
          <w:rFonts w:ascii="Century Schoolbook" w:eastAsia="PMingLiU" w:hAnsi="Century Schoolbook" w:cs="PMingLiU"/>
          <w:sz w:val="26"/>
          <w:szCs w:val="26"/>
        </w:rPr>
        <w:t xml:space="preserve">However Hanna labeled </w:t>
      </w:r>
      <w:r>
        <w:rPr>
          <w:rFonts w:ascii="Century Schoolbook" w:eastAsia="PMingLiU" w:hAnsi="Century Schoolbook" w:cs="PMingLiU"/>
          <w:sz w:val="26"/>
          <w:szCs w:val="26"/>
        </w:rPr>
        <w:t>his</w:t>
      </w:r>
      <w:r w:rsidR="00540885">
        <w:rPr>
          <w:rFonts w:ascii="Century Schoolbook" w:eastAsia="PMingLiU" w:hAnsi="Century Schoolbook" w:cs="PMingLiU"/>
          <w:sz w:val="26"/>
          <w:szCs w:val="26"/>
        </w:rPr>
        <w:t xml:space="preserve"> </w:t>
      </w:r>
      <w:r>
        <w:rPr>
          <w:rFonts w:ascii="Century Schoolbook" w:eastAsia="PMingLiU" w:hAnsi="Century Schoolbook" w:cs="PMingLiU"/>
          <w:sz w:val="26"/>
          <w:szCs w:val="26"/>
        </w:rPr>
        <w:t>motion</w:t>
      </w:r>
      <w:r w:rsidR="00540885">
        <w:rPr>
          <w:rFonts w:ascii="Century Schoolbook" w:eastAsia="PMingLiU" w:hAnsi="Century Schoolbook" w:cs="PMingLiU"/>
          <w:sz w:val="26"/>
          <w:szCs w:val="26"/>
        </w:rPr>
        <w:t xml:space="preserve">, </w:t>
      </w:r>
      <w:r>
        <w:rPr>
          <w:rFonts w:ascii="Century Schoolbook" w:eastAsia="PMingLiU" w:hAnsi="Century Schoolbook" w:cs="PMingLiU"/>
          <w:sz w:val="26"/>
          <w:szCs w:val="26"/>
        </w:rPr>
        <w:t>it</w:t>
      </w:r>
      <w:r w:rsidR="00540885">
        <w:rPr>
          <w:rFonts w:ascii="Century Schoolbook" w:eastAsia="PMingLiU" w:hAnsi="Century Schoolbook" w:cs="PMingLiU"/>
          <w:sz w:val="26"/>
          <w:szCs w:val="26"/>
        </w:rPr>
        <w:t xml:space="preserve"> clearly evinced a desire for the court to reconsider its judgment, and it was filed within the 28-day </w:t>
      </w:r>
      <w:r w:rsidR="00540885">
        <w:rPr>
          <w:rFonts w:ascii="Century Schoolbook" w:hAnsi="Century Schoolbook"/>
          <w:sz w:val="26"/>
        </w:rPr>
        <w:t>time limit for filing Rule 59(e) motions</w:t>
      </w:r>
      <w:r w:rsidR="00913C02">
        <w:rPr>
          <w:rFonts w:ascii="Century Schoolbook" w:hAnsi="Century Schoolbook"/>
          <w:sz w:val="26"/>
        </w:rPr>
        <w:t>.</w:t>
      </w:r>
    </w:p>
    <w:p w:rsidR="0097341C" w:rsidRDefault="0097341C" w:rsidP="0097341C">
      <w:pPr>
        <w:widowControl/>
        <w:spacing w:line="360" w:lineRule="auto"/>
        <w:ind w:firstLine="720"/>
        <w:jc w:val="both"/>
        <w:rPr>
          <w:rFonts w:ascii="Century Schoolbook" w:eastAsia="PMingLiU" w:hAnsi="Century Schoolbook" w:cs="PMingLiU"/>
          <w:sz w:val="26"/>
          <w:szCs w:val="26"/>
        </w:rPr>
      </w:pPr>
      <w:r w:rsidRPr="004130B0">
        <w:rPr>
          <w:rFonts w:ascii="Century Schoolbook" w:eastAsia="PMingLiU" w:hAnsi="Century Schoolbook" w:cs="PMingLiU"/>
          <w:sz w:val="26"/>
          <w:szCs w:val="26"/>
        </w:rPr>
        <w:t xml:space="preserve">In addition, this court has liberally construed </w:t>
      </w:r>
      <w:proofErr w:type="spellStart"/>
      <w:r w:rsidRPr="004130B0">
        <w:rPr>
          <w:rFonts w:ascii="Century Schoolbook" w:eastAsia="PMingLiU" w:hAnsi="Century Schoolbook" w:cs="PMingLiU"/>
          <w:sz w:val="26"/>
          <w:szCs w:val="26"/>
        </w:rPr>
        <w:t>postjudgment</w:t>
      </w:r>
      <w:proofErr w:type="spellEnd"/>
      <w:r w:rsidRPr="004130B0">
        <w:rPr>
          <w:rFonts w:ascii="Century Schoolbook" w:eastAsia="PMingLiU" w:hAnsi="Century Schoolbook" w:cs="PMingLiU"/>
          <w:sz w:val="26"/>
          <w:szCs w:val="26"/>
        </w:rPr>
        <w:t xml:space="preserve"> objections to </w:t>
      </w:r>
      <w:r>
        <w:rPr>
          <w:rFonts w:ascii="Century Schoolbook" w:eastAsia="PMingLiU" w:hAnsi="Century Schoolbook" w:cs="PMingLiU"/>
          <w:sz w:val="26"/>
          <w:szCs w:val="26"/>
        </w:rPr>
        <w:t>a magistrate judge’s</w:t>
      </w:r>
      <w:r w:rsidRPr="004130B0">
        <w:rPr>
          <w:rFonts w:ascii="Century Schoolbook" w:eastAsia="PMingLiU" w:hAnsi="Century Schoolbook" w:cs="PMingLiU"/>
          <w:sz w:val="26"/>
          <w:szCs w:val="26"/>
        </w:rPr>
        <w:t xml:space="preserve"> report as a motion capable of tolling the time for filing a notice of appeal.  </w:t>
      </w:r>
      <w:r w:rsidRPr="004130B0">
        <w:rPr>
          <w:rFonts w:ascii="Century Schoolbook" w:eastAsia="PMingLiU" w:hAnsi="Century Schoolbook" w:cs="PMingLiU"/>
          <w:i/>
          <w:sz w:val="26"/>
          <w:szCs w:val="26"/>
        </w:rPr>
        <w:t>See United States v. Gallardo</w:t>
      </w:r>
      <w:r w:rsidRPr="004130B0">
        <w:rPr>
          <w:rFonts w:ascii="Century Schoolbook" w:eastAsia="PMingLiU" w:hAnsi="Century Schoolbook" w:cs="PMingLiU"/>
          <w:sz w:val="26"/>
          <w:szCs w:val="26"/>
        </w:rPr>
        <w:t xml:space="preserve">, 915 F.2d 149, 150 &amp; n.2 (5th Cir. 1990) (construing objections to the report, filed in a criminal case after entry of the final judgment, as a motion for reconsideration that tolled the time for filing a notice of appeal until after entry of the court’s order disposing of the motion).  As in </w:t>
      </w:r>
      <w:r w:rsidRPr="004130B0">
        <w:rPr>
          <w:rFonts w:ascii="Century Schoolbook" w:eastAsia="PMingLiU" w:hAnsi="Century Schoolbook" w:cs="PMingLiU"/>
          <w:i/>
          <w:sz w:val="26"/>
          <w:szCs w:val="26"/>
        </w:rPr>
        <w:t>Gallardo</w:t>
      </w:r>
      <w:r w:rsidRPr="004130B0">
        <w:rPr>
          <w:rFonts w:ascii="Century Schoolbook" w:eastAsia="PMingLiU" w:hAnsi="Century Schoolbook" w:cs="PMingLiU"/>
          <w:sz w:val="26"/>
          <w:szCs w:val="26"/>
        </w:rPr>
        <w:t xml:space="preserve">, the district court’s judgment herein “had already been entered” at the time Hanna filed his motion for an extension.  </w:t>
      </w:r>
      <w:r w:rsidR="00144C7B">
        <w:rPr>
          <w:rFonts w:ascii="Century Schoolbook" w:eastAsia="PMingLiU" w:hAnsi="Century Schoolbook" w:cs="PMingLiU"/>
          <w:sz w:val="26"/>
          <w:szCs w:val="26"/>
        </w:rPr>
        <w:t>U</w:t>
      </w:r>
      <w:r w:rsidRPr="004130B0">
        <w:rPr>
          <w:rFonts w:ascii="Century Schoolbook" w:eastAsia="PMingLiU" w:hAnsi="Century Schoolbook" w:cs="PMingLiU"/>
          <w:sz w:val="26"/>
          <w:szCs w:val="26"/>
        </w:rPr>
        <w:t>nlike</w:t>
      </w:r>
      <w:r>
        <w:rPr>
          <w:rFonts w:ascii="Century Schoolbook" w:eastAsia="PMingLiU" w:hAnsi="Century Schoolbook" w:cs="PMingLiU"/>
          <w:sz w:val="26"/>
          <w:szCs w:val="26"/>
        </w:rPr>
        <w:t xml:space="preserve"> in</w:t>
      </w:r>
      <w:r w:rsidRPr="004130B0">
        <w:rPr>
          <w:rFonts w:ascii="Century Schoolbook" w:eastAsia="PMingLiU" w:hAnsi="Century Schoolbook" w:cs="PMingLiU"/>
          <w:sz w:val="26"/>
          <w:szCs w:val="26"/>
        </w:rPr>
        <w:t xml:space="preserve"> </w:t>
      </w:r>
      <w:r w:rsidRPr="004130B0">
        <w:rPr>
          <w:rFonts w:ascii="Century Schoolbook" w:eastAsia="PMingLiU" w:hAnsi="Century Schoolbook" w:cs="PMingLiU"/>
          <w:i/>
          <w:sz w:val="26"/>
          <w:szCs w:val="26"/>
        </w:rPr>
        <w:lastRenderedPageBreak/>
        <w:t>Gallardo</w:t>
      </w:r>
      <w:r w:rsidRPr="004130B0">
        <w:rPr>
          <w:rFonts w:ascii="Century Schoolbook" w:eastAsia="PMingLiU" w:hAnsi="Century Schoolbook" w:cs="PMingLiU"/>
          <w:sz w:val="26"/>
          <w:szCs w:val="26"/>
        </w:rPr>
        <w:t xml:space="preserve">, Hanna </w:t>
      </w:r>
      <w:r w:rsidR="00E33A42">
        <w:rPr>
          <w:rFonts w:ascii="Century Schoolbook" w:eastAsia="PMingLiU" w:hAnsi="Century Schoolbook" w:cs="PMingLiU"/>
          <w:sz w:val="26"/>
          <w:szCs w:val="26"/>
        </w:rPr>
        <w:t xml:space="preserve">initially </w:t>
      </w:r>
      <w:r w:rsidRPr="004130B0">
        <w:rPr>
          <w:rFonts w:ascii="Century Schoolbook" w:eastAsia="PMingLiU" w:hAnsi="Century Schoolbook" w:cs="PMingLiU"/>
          <w:sz w:val="26"/>
          <w:szCs w:val="26"/>
        </w:rPr>
        <w:t xml:space="preserve">did not file his </w:t>
      </w:r>
      <w:r w:rsidR="00144C7B">
        <w:rPr>
          <w:rFonts w:ascii="Century Schoolbook" w:eastAsia="PMingLiU" w:hAnsi="Century Schoolbook" w:cs="PMingLiU"/>
          <w:sz w:val="26"/>
          <w:szCs w:val="26"/>
        </w:rPr>
        <w:t>specific</w:t>
      </w:r>
      <w:r w:rsidRPr="004130B0">
        <w:rPr>
          <w:rFonts w:ascii="Century Schoolbook" w:eastAsia="PMingLiU" w:hAnsi="Century Schoolbook" w:cs="PMingLiU"/>
          <w:sz w:val="26"/>
          <w:szCs w:val="26"/>
        </w:rPr>
        <w:t xml:space="preserve"> objections to the report</w:t>
      </w:r>
      <w:r w:rsidR="00E33A42">
        <w:rPr>
          <w:rFonts w:ascii="Century Schoolbook" w:eastAsia="PMingLiU" w:hAnsi="Century Schoolbook" w:cs="PMingLiU"/>
          <w:sz w:val="26"/>
          <w:szCs w:val="26"/>
        </w:rPr>
        <w:t xml:space="preserve">, only </w:t>
      </w:r>
      <w:r w:rsidRPr="004130B0">
        <w:rPr>
          <w:rFonts w:ascii="Century Schoolbook" w:eastAsia="PMingLiU" w:hAnsi="Century Schoolbook" w:cs="PMingLiU"/>
          <w:sz w:val="26"/>
          <w:szCs w:val="26"/>
        </w:rPr>
        <w:t xml:space="preserve">a motion for an extension of time to file </w:t>
      </w:r>
      <w:r w:rsidR="00E33A42">
        <w:rPr>
          <w:rFonts w:ascii="Century Schoolbook" w:eastAsia="PMingLiU" w:hAnsi="Century Schoolbook" w:cs="PMingLiU"/>
          <w:sz w:val="26"/>
          <w:szCs w:val="26"/>
        </w:rPr>
        <w:t>those</w:t>
      </w:r>
      <w:r w:rsidRPr="004130B0">
        <w:rPr>
          <w:rFonts w:ascii="Century Schoolbook" w:eastAsia="PMingLiU" w:hAnsi="Century Schoolbook" w:cs="PMingLiU"/>
          <w:sz w:val="26"/>
          <w:szCs w:val="26"/>
        </w:rPr>
        <w:t xml:space="preserve"> objection</w:t>
      </w:r>
      <w:r w:rsidR="00E33A42">
        <w:rPr>
          <w:rFonts w:ascii="Century Schoolbook" w:eastAsia="PMingLiU" w:hAnsi="Century Schoolbook" w:cs="PMingLiU"/>
          <w:sz w:val="26"/>
          <w:szCs w:val="26"/>
        </w:rPr>
        <w:t>s</w:t>
      </w:r>
      <w:r w:rsidR="00144C7B">
        <w:rPr>
          <w:rFonts w:ascii="Century Schoolbook" w:eastAsia="PMingLiU" w:hAnsi="Century Schoolbook" w:cs="PMingLiU"/>
          <w:sz w:val="26"/>
          <w:szCs w:val="26"/>
        </w:rPr>
        <w:t>.  However, he</w:t>
      </w:r>
      <w:r w:rsidR="00E33A42">
        <w:rPr>
          <w:rFonts w:ascii="Century Schoolbook" w:eastAsia="PMingLiU" w:hAnsi="Century Schoolbook" w:cs="PMingLiU"/>
          <w:sz w:val="26"/>
          <w:szCs w:val="26"/>
        </w:rPr>
        <w:t xml:space="preserve"> later filed his specific objections</w:t>
      </w:r>
      <w:r w:rsidR="00144C7B">
        <w:rPr>
          <w:rFonts w:ascii="Century Schoolbook" w:eastAsia="PMingLiU" w:hAnsi="Century Schoolbook" w:cs="PMingLiU"/>
          <w:sz w:val="26"/>
          <w:szCs w:val="26"/>
        </w:rPr>
        <w:t xml:space="preserve">, which </w:t>
      </w:r>
      <w:r w:rsidR="00E33A42">
        <w:rPr>
          <w:rFonts w:ascii="Century Schoolbook" w:eastAsia="PMingLiU" w:hAnsi="Century Schoolbook" w:cs="PMingLiU"/>
          <w:sz w:val="26"/>
          <w:szCs w:val="26"/>
        </w:rPr>
        <w:t xml:space="preserve">the district court </w:t>
      </w:r>
      <w:r>
        <w:rPr>
          <w:rFonts w:ascii="Century Schoolbook" w:eastAsia="PMingLiU" w:hAnsi="Century Schoolbook" w:cs="PMingLiU"/>
          <w:sz w:val="26"/>
          <w:szCs w:val="26"/>
        </w:rPr>
        <w:t xml:space="preserve">considered </w:t>
      </w:r>
      <w:r w:rsidR="00E33A42">
        <w:rPr>
          <w:rFonts w:ascii="Century Schoolbook" w:eastAsia="PMingLiU" w:hAnsi="Century Schoolbook" w:cs="PMingLiU"/>
          <w:sz w:val="26"/>
          <w:szCs w:val="26"/>
        </w:rPr>
        <w:t>when it issued</w:t>
      </w:r>
      <w:r>
        <w:rPr>
          <w:rFonts w:ascii="Century Schoolbook" w:eastAsia="PMingLiU" w:hAnsi="Century Schoolbook" w:cs="PMingLiU"/>
          <w:sz w:val="26"/>
          <w:szCs w:val="26"/>
        </w:rPr>
        <w:t xml:space="preserve"> its </w:t>
      </w:r>
      <w:r w:rsidR="00E33A42">
        <w:rPr>
          <w:rFonts w:ascii="Century Schoolbook" w:eastAsia="PMingLiU" w:hAnsi="Century Schoolbook" w:cs="PMingLiU"/>
          <w:sz w:val="26"/>
          <w:szCs w:val="26"/>
        </w:rPr>
        <w:t>final order on April 4, 2012.</w:t>
      </w:r>
      <w:r w:rsidR="00144C7B">
        <w:rPr>
          <w:rFonts w:ascii="Century Schoolbook" w:eastAsia="PMingLiU" w:hAnsi="Century Schoolbook" w:cs="PMingLiU"/>
          <w:sz w:val="26"/>
          <w:szCs w:val="26"/>
        </w:rPr>
        <w:t xml:space="preserve">  A district court has discretion to hear objections filed after the deadline,</w:t>
      </w:r>
      <w:r w:rsidR="00B64EF5" w:rsidRPr="00B64EF5">
        <w:rPr>
          <w:rFonts w:ascii="Century Schoolbook" w:eastAsia="PMingLiU" w:hAnsi="Century Schoolbook" w:cs="PMingLiU"/>
          <w:i/>
          <w:sz w:val="26"/>
          <w:szCs w:val="26"/>
        </w:rPr>
        <w:t xml:space="preserve"> </w:t>
      </w:r>
      <w:r w:rsidR="00B64EF5" w:rsidRPr="00144C7B">
        <w:rPr>
          <w:rFonts w:ascii="Century Schoolbook" w:eastAsia="PMingLiU" w:hAnsi="Century Schoolbook" w:cs="PMingLiU"/>
          <w:i/>
          <w:sz w:val="26"/>
          <w:szCs w:val="26"/>
        </w:rPr>
        <w:t>Rodriguez v. Bowen</w:t>
      </w:r>
      <w:r w:rsidR="00B64EF5" w:rsidRPr="00144C7B">
        <w:rPr>
          <w:rFonts w:ascii="Century Schoolbook" w:eastAsia="PMingLiU" w:hAnsi="Century Schoolbook" w:cs="PMingLiU"/>
          <w:sz w:val="26"/>
          <w:szCs w:val="26"/>
        </w:rPr>
        <w:t>, 857 F.2d 275</w:t>
      </w:r>
      <w:r w:rsidR="00B64EF5">
        <w:rPr>
          <w:rFonts w:ascii="Century Schoolbook" w:eastAsia="PMingLiU" w:hAnsi="Century Schoolbook" w:cs="PMingLiU"/>
          <w:sz w:val="26"/>
          <w:szCs w:val="26"/>
        </w:rPr>
        <w:t>, 277</w:t>
      </w:r>
      <w:r w:rsidR="00B64EF5" w:rsidRPr="00144C7B">
        <w:rPr>
          <w:rFonts w:ascii="Century Schoolbook" w:eastAsia="PMingLiU" w:hAnsi="Century Schoolbook" w:cs="PMingLiU"/>
          <w:sz w:val="26"/>
          <w:szCs w:val="26"/>
        </w:rPr>
        <w:t xml:space="preserve"> (5th Cir. 1988)</w:t>
      </w:r>
      <w:r w:rsidR="00B64EF5">
        <w:rPr>
          <w:rFonts w:ascii="Century Schoolbook" w:eastAsia="PMingLiU" w:hAnsi="Century Schoolbook" w:cs="PMingLiU"/>
          <w:sz w:val="26"/>
          <w:szCs w:val="26"/>
        </w:rPr>
        <w:t>,</w:t>
      </w:r>
      <w:r w:rsidR="00144C7B">
        <w:rPr>
          <w:rFonts w:ascii="Century Schoolbook" w:eastAsia="PMingLiU" w:hAnsi="Century Schoolbook" w:cs="PMingLiU"/>
          <w:sz w:val="26"/>
          <w:szCs w:val="26"/>
        </w:rPr>
        <w:t xml:space="preserve"> and </w:t>
      </w:r>
      <w:r w:rsidR="00B64EF5">
        <w:rPr>
          <w:rFonts w:ascii="Century Schoolbook" w:eastAsia="PMingLiU" w:hAnsi="Century Schoolbook" w:cs="PMingLiU"/>
          <w:sz w:val="26"/>
          <w:szCs w:val="26"/>
        </w:rPr>
        <w:t>the district court exercised that discretion here</w:t>
      </w:r>
      <w:r w:rsidR="00144C7B">
        <w:rPr>
          <w:rFonts w:ascii="Century Schoolbook" w:eastAsia="PMingLiU" w:hAnsi="Century Schoolbook" w:cs="PMingLiU"/>
          <w:sz w:val="26"/>
          <w:szCs w:val="26"/>
        </w:rPr>
        <w:t>.</w:t>
      </w:r>
    </w:p>
    <w:p w:rsidR="005E2BDC" w:rsidRPr="008B5895" w:rsidRDefault="00736F90" w:rsidP="0097341C">
      <w:pPr>
        <w:widowControl/>
        <w:spacing w:line="360" w:lineRule="auto"/>
        <w:ind w:firstLine="720"/>
        <w:jc w:val="both"/>
        <w:rPr>
          <w:rFonts w:ascii="Century Schoolbook" w:eastAsia="PMingLiU" w:hAnsi="Century Schoolbook" w:cs="PMingLiU"/>
          <w:sz w:val="26"/>
          <w:szCs w:val="26"/>
        </w:rPr>
      </w:pPr>
      <w:r>
        <w:rPr>
          <w:rFonts w:ascii="Century Schoolbook" w:eastAsia="PMingLiU" w:hAnsi="Century Schoolbook" w:cs="PMingLiU"/>
          <w:sz w:val="26"/>
          <w:szCs w:val="26"/>
        </w:rPr>
        <w:t xml:space="preserve">We find that Hanna timely filed what was, in substance, a </w:t>
      </w:r>
      <w:r w:rsidR="009B4038">
        <w:rPr>
          <w:rFonts w:ascii="Century Schoolbook" w:eastAsia="PMingLiU" w:hAnsi="Century Schoolbook" w:cs="PMingLiU"/>
          <w:sz w:val="26"/>
          <w:szCs w:val="26"/>
        </w:rPr>
        <w:t xml:space="preserve">motion for reconsideration under Rule 59(e) </w:t>
      </w:r>
      <w:r w:rsidR="00913C02">
        <w:rPr>
          <w:rFonts w:ascii="Century Schoolbook" w:eastAsia="PMingLiU" w:hAnsi="Century Schoolbook" w:cs="PMingLiU"/>
          <w:sz w:val="26"/>
          <w:szCs w:val="26"/>
        </w:rPr>
        <w:t>and</w:t>
      </w:r>
      <w:r w:rsidR="009B4038">
        <w:rPr>
          <w:rFonts w:ascii="Century Schoolbook" w:eastAsia="PMingLiU" w:hAnsi="Century Schoolbook" w:cs="PMingLiU"/>
          <w:sz w:val="26"/>
          <w:szCs w:val="26"/>
        </w:rPr>
        <w:t xml:space="preserve"> that we possess jurisdiction to hear this appeal.</w:t>
      </w:r>
    </w:p>
    <w:p w:rsidR="0097341C" w:rsidRPr="00AA35D5" w:rsidRDefault="0097341C" w:rsidP="00640360">
      <w:pPr>
        <w:widowControl/>
        <w:spacing w:line="360" w:lineRule="auto"/>
        <w:ind w:firstLine="720"/>
        <w:jc w:val="both"/>
        <w:rPr>
          <w:rFonts w:ascii="Century Schoolbook" w:eastAsia="PMingLiU" w:hAnsi="Century Schoolbook" w:cs="PMingLiU"/>
          <w:sz w:val="26"/>
          <w:szCs w:val="26"/>
        </w:rPr>
      </w:pPr>
    </w:p>
    <w:p w:rsidR="0072498F" w:rsidRPr="00AA35D5" w:rsidRDefault="0072498F" w:rsidP="006F7688">
      <w:pPr>
        <w:widowControl/>
        <w:tabs>
          <w:tab w:val="center" w:pos="4680"/>
        </w:tabs>
        <w:spacing w:line="360" w:lineRule="auto"/>
        <w:jc w:val="center"/>
        <w:rPr>
          <w:rFonts w:ascii="Century Schoolbook" w:eastAsia="PMingLiU" w:hAnsi="Century Schoolbook" w:cs="PMingLiU"/>
          <w:sz w:val="26"/>
          <w:szCs w:val="26"/>
        </w:rPr>
      </w:pPr>
      <w:r w:rsidRPr="00AA35D5">
        <w:rPr>
          <w:rFonts w:ascii="Century Schoolbook" w:eastAsia="PMingLiU" w:hAnsi="Century Schoolbook" w:cs="PMingLiU"/>
          <w:sz w:val="26"/>
          <w:szCs w:val="26"/>
        </w:rPr>
        <w:t>I</w:t>
      </w:r>
      <w:r w:rsidR="006F7688">
        <w:rPr>
          <w:rFonts w:ascii="Century Schoolbook" w:eastAsia="PMingLiU" w:hAnsi="Century Schoolbook" w:cs="PMingLiU"/>
          <w:sz w:val="26"/>
          <w:szCs w:val="26"/>
        </w:rPr>
        <w:t>I</w:t>
      </w:r>
      <w:r w:rsidRPr="00AA35D5">
        <w:rPr>
          <w:rFonts w:ascii="Century Schoolbook" w:eastAsia="PMingLiU" w:hAnsi="Century Schoolbook" w:cs="PMingLiU"/>
          <w:sz w:val="26"/>
          <w:szCs w:val="26"/>
        </w:rPr>
        <w:t>I.</w:t>
      </w:r>
    </w:p>
    <w:p w:rsidR="006F7688" w:rsidRDefault="006F7688">
      <w:pPr>
        <w:widowControl/>
        <w:spacing w:line="360" w:lineRule="auto"/>
        <w:ind w:firstLine="720"/>
        <w:jc w:val="both"/>
        <w:rPr>
          <w:rFonts w:ascii="Century Schoolbook" w:eastAsia="PMingLiU" w:hAnsi="Century Schoolbook" w:cs="PMingLiU"/>
          <w:sz w:val="26"/>
          <w:szCs w:val="26"/>
        </w:rPr>
      </w:pPr>
      <w:r w:rsidRPr="006F7688">
        <w:rPr>
          <w:rFonts w:ascii="Century Schoolbook" w:eastAsia="PMingLiU" w:hAnsi="Century Schoolbook" w:cs="PMingLiU"/>
          <w:sz w:val="26"/>
          <w:szCs w:val="26"/>
        </w:rPr>
        <w:t xml:space="preserve">This court conducts a </w:t>
      </w:r>
      <w:r w:rsidRPr="00913C02">
        <w:rPr>
          <w:rFonts w:ascii="Century Schoolbook" w:eastAsia="PMingLiU" w:hAnsi="Century Schoolbook" w:cs="PMingLiU"/>
          <w:i/>
          <w:sz w:val="26"/>
          <w:szCs w:val="26"/>
        </w:rPr>
        <w:t>de novo</w:t>
      </w:r>
      <w:r w:rsidRPr="006F7688">
        <w:rPr>
          <w:rFonts w:ascii="Century Schoolbook" w:eastAsia="PMingLiU" w:hAnsi="Century Schoolbook" w:cs="PMingLiU"/>
          <w:sz w:val="26"/>
          <w:szCs w:val="26"/>
        </w:rPr>
        <w:t xml:space="preserve"> review of the time-bar dismissal of a § 1983 action.  </w:t>
      </w:r>
      <w:r w:rsidRPr="006F7688">
        <w:rPr>
          <w:rFonts w:ascii="Century Schoolbook" w:eastAsia="PMingLiU" w:hAnsi="Century Schoolbook" w:cs="PMingLiU"/>
          <w:i/>
          <w:sz w:val="26"/>
          <w:szCs w:val="26"/>
        </w:rPr>
        <w:t>See Price v. City of San Antonio, Tex</w:t>
      </w:r>
      <w:r w:rsidRPr="006F7688">
        <w:rPr>
          <w:rFonts w:ascii="Century Schoolbook" w:eastAsia="PMingLiU" w:hAnsi="Century Schoolbook" w:cs="PMingLiU"/>
          <w:sz w:val="26"/>
          <w:szCs w:val="26"/>
        </w:rPr>
        <w:t xml:space="preserve">., 431 F.3d 890, 892 (5th Cir. 2005).  Federal courts look to federal law to ascertain when a § 1983 action accrues and the limitations period begins to run; however, “state law supplies the applicable limitations period and tolling provisions.”  </w:t>
      </w:r>
      <w:r w:rsidRPr="006F7688">
        <w:rPr>
          <w:rFonts w:ascii="Century Schoolbook" w:eastAsia="PMingLiU" w:hAnsi="Century Schoolbook" w:cs="PMingLiU"/>
          <w:i/>
          <w:sz w:val="26"/>
          <w:szCs w:val="26"/>
        </w:rPr>
        <w:t xml:space="preserve">Harris v. </w:t>
      </w:r>
      <w:proofErr w:type="spellStart"/>
      <w:r w:rsidRPr="006F7688">
        <w:rPr>
          <w:rFonts w:ascii="Century Schoolbook" w:eastAsia="PMingLiU" w:hAnsi="Century Schoolbook" w:cs="PMingLiU"/>
          <w:i/>
          <w:sz w:val="26"/>
          <w:szCs w:val="26"/>
        </w:rPr>
        <w:t>Hegmann</w:t>
      </w:r>
      <w:proofErr w:type="spellEnd"/>
      <w:r w:rsidRPr="006F7688">
        <w:rPr>
          <w:rFonts w:ascii="Century Schoolbook" w:eastAsia="PMingLiU" w:hAnsi="Century Schoolbook" w:cs="PMingLiU"/>
          <w:sz w:val="26"/>
          <w:szCs w:val="26"/>
        </w:rPr>
        <w:t xml:space="preserve">, 198 F.3d 153, 156-57 (5th Cir. 1999).  In Louisiana, the applicable limitations period is one year.  </w:t>
      </w:r>
      <w:r w:rsidRPr="006F7688">
        <w:rPr>
          <w:rFonts w:ascii="Century Schoolbook" w:eastAsia="PMingLiU" w:hAnsi="Century Schoolbook" w:cs="PMingLiU"/>
          <w:i/>
          <w:sz w:val="26"/>
          <w:szCs w:val="26"/>
        </w:rPr>
        <w:t>See Clifford v. Gibbs</w:t>
      </w:r>
      <w:r w:rsidRPr="006F7688">
        <w:rPr>
          <w:rFonts w:ascii="Century Schoolbook" w:eastAsia="PMingLiU" w:hAnsi="Century Schoolbook" w:cs="PMingLiU"/>
          <w:sz w:val="26"/>
          <w:szCs w:val="26"/>
        </w:rPr>
        <w:t xml:space="preserve">, 298 F.3d 328, 332 (5th Cir. 2002); </w:t>
      </w:r>
      <w:r w:rsidRPr="006F7688">
        <w:rPr>
          <w:rFonts w:ascii="Century Schoolbook" w:eastAsia="PMingLiU" w:hAnsi="Century Schoolbook" w:cs="PMingLiU"/>
          <w:smallCaps/>
          <w:sz w:val="26"/>
          <w:szCs w:val="26"/>
        </w:rPr>
        <w:t>La. Civ. Code Ann. Art</w:t>
      </w:r>
      <w:r w:rsidRPr="006F7688">
        <w:rPr>
          <w:rFonts w:ascii="Century Schoolbook" w:eastAsia="PMingLiU" w:hAnsi="Century Schoolbook" w:cs="PMingLiU"/>
          <w:sz w:val="26"/>
          <w:szCs w:val="26"/>
        </w:rPr>
        <w:t>. 3492.</w:t>
      </w:r>
    </w:p>
    <w:p w:rsidR="00FD1C8E" w:rsidRPr="00FD1C8E" w:rsidRDefault="00FD1C8E" w:rsidP="00FD1C8E">
      <w:pPr>
        <w:widowControl/>
        <w:spacing w:line="360" w:lineRule="auto"/>
        <w:ind w:firstLine="720"/>
        <w:jc w:val="both"/>
        <w:rPr>
          <w:rFonts w:ascii="Century Schoolbook" w:eastAsia="PMingLiU" w:hAnsi="Century Schoolbook" w:cs="PMingLiU"/>
          <w:sz w:val="26"/>
          <w:szCs w:val="26"/>
        </w:rPr>
      </w:pPr>
      <w:r w:rsidRPr="00FD1C8E">
        <w:rPr>
          <w:rFonts w:ascii="Century Schoolbook" w:eastAsia="PMingLiU" w:hAnsi="Century Schoolbook" w:cs="PMingLiU"/>
          <w:sz w:val="26"/>
          <w:szCs w:val="26"/>
        </w:rPr>
        <w:t xml:space="preserve">Here, the parties do not dispute the applicable limitations period; rather, they dispute when Hanna’s action accrued.  In general, a § 1983 action does not accrue until a plaintiff “knows or has reason to know of the injury which is the basis of the action.”  </w:t>
      </w:r>
      <w:r w:rsidRPr="00FD1C8E">
        <w:rPr>
          <w:rFonts w:ascii="Century Schoolbook" w:eastAsia="PMingLiU" w:hAnsi="Century Schoolbook" w:cs="PMingLiU"/>
          <w:i/>
          <w:sz w:val="26"/>
          <w:szCs w:val="26"/>
        </w:rPr>
        <w:t>Harris</w:t>
      </w:r>
      <w:r w:rsidRPr="00FD1C8E">
        <w:rPr>
          <w:rFonts w:ascii="Century Schoolbook" w:eastAsia="PMingLiU" w:hAnsi="Century Schoolbook" w:cs="PMingLiU"/>
          <w:sz w:val="26"/>
          <w:szCs w:val="26"/>
        </w:rPr>
        <w:t xml:space="preserve">, 198 F.3d at 157 (internal quotation marks and citation omitted).  This general analysis is altered, however, when a plaintiff’s § 1983 claim for damages stems from an allegedly unconstitutional disciplinary conviction.  If a judgment in favor of a plaintiff would necessarily </w:t>
      </w:r>
      <w:r w:rsidRPr="00FD1C8E">
        <w:rPr>
          <w:rFonts w:ascii="Century Schoolbook" w:eastAsia="PMingLiU" w:hAnsi="Century Schoolbook" w:cs="PMingLiU"/>
          <w:sz w:val="26"/>
          <w:szCs w:val="26"/>
        </w:rPr>
        <w:lastRenderedPageBreak/>
        <w:t xml:space="preserve">imply the invalidity of a disciplinary conviction or affect the duration of confinement, the accrual date of the claim is deferred or delayed until the conviction is overturned.  </w:t>
      </w:r>
      <w:r w:rsidRPr="00FD1C8E">
        <w:rPr>
          <w:rFonts w:ascii="Century Schoolbook" w:eastAsia="PMingLiU" w:hAnsi="Century Schoolbook" w:cs="PMingLiU"/>
          <w:i/>
          <w:sz w:val="26"/>
          <w:szCs w:val="26"/>
        </w:rPr>
        <w:t>Heck v. Humphrey</w:t>
      </w:r>
      <w:r w:rsidRPr="00FD1C8E">
        <w:rPr>
          <w:rFonts w:ascii="Century Schoolbook" w:eastAsia="PMingLiU" w:hAnsi="Century Schoolbook" w:cs="PMingLiU"/>
          <w:sz w:val="26"/>
          <w:szCs w:val="26"/>
        </w:rPr>
        <w:t xml:space="preserve">, 512 U.S. 477, 486-87 (1994); </w:t>
      </w:r>
      <w:r w:rsidRPr="00FD1C8E">
        <w:rPr>
          <w:rFonts w:ascii="Century Schoolbook" w:eastAsia="PMingLiU" w:hAnsi="Century Schoolbook" w:cs="PMingLiU"/>
          <w:i/>
          <w:sz w:val="26"/>
          <w:szCs w:val="26"/>
        </w:rPr>
        <w:t xml:space="preserve">Clarke v. </w:t>
      </w:r>
      <w:proofErr w:type="spellStart"/>
      <w:r w:rsidRPr="00FD1C8E">
        <w:rPr>
          <w:rFonts w:ascii="Century Schoolbook" w:eastAsia="PMingLiU" w:hAnsi="Century Schoolbook" w:cs="PMingLiU"/>
          <w:i/>
          <w:sz w:val="26"/>
          <w:szCs w:val="26"/>
        </w:rPr>
        <w:t>Stalder</w:t>
      </w:r>
      <w:proofErr w:type="spellEnd"/>
      <w:r w:rsidRPr="00FD1C8E">
        <w:rPr>
          <w:rFonts w:ascii="Century Schoolbook" w:eastAsia="PMingLiU" w:hAnsi="Century Schoolbook" w:cs="PMingLiU"/>
          <w:sz w:val="26"/>
          <w:szCs w:val="26"/>
        </w:rPr>
        <w:t xml:space="preserve">, 154 F.3d 186, 189 (5th Cir. 1998) (en banc) (applying </w:t>
      </w:r>
      <w:r w:rsidRPr="00FD1C8E">
        <w:rPr>
          <w:rFonts w:ascii="Century Schoolbook" w:eastAsia="PMingLiU" w:hAnsi="Century Schoolbook" w:cs="PMingLiU"/>
          <w:i/>
          <w:sz w:val="26"/>
          <w:szCs w:val="26"/>
        </w:rPr>
        <w:t>Heck</w:t>
      </w:r>
      <w:r w:rsidRPr="00FD1C8E">
        <w:rPr>
          <w:rFonts w:ascii="Century Schoolbook" w:eastAsia="PMingLiU" w:hAnsi="Century Schoolbook" w:cs="PMingLiU"/>
          <w:sz w:val="26"/>
          <w:szCs w:val="26"/>
        </w:rPr>
        <w:t xml:space="preserve"> holding to a disciplinary conviction).  The </w:t>
      </w:r>
      <w:r w:rsidRPr="00FD1C8E">
        <w:rPr>
          <w:rFonts w:ascii="Century Schoolbook" w:eastAsia="PMingLiU" w:hAnsi="Century Schoolbook" w:cs="PMingLiU"/>
          <w:i/>
          <w:sz w:val="26"/>
          <w:szCs w:val="26"/>
        </w:rPr>
        <w:t>Heck</w:t>
      </w:r>
      <w:r w:rsidRPr="00FD1C8E">
        <w:rPr>
          <w:rFonts w:ascii="Century Schoolbook" w:eastAsia="PMingLiU" w:hAnsi="Century Schoolbook" w:cs="PMingLiU"/>
          <w:sz w:val="26"/>
          <w:szCs w:val="26"/>
        </w:rPr>
        <w:t xml:space="preserve"> doctrine is inapplicable</w:t>
      </w:r>
      <w:r w:rsidR="00913C02">
        <w:rPr>
          <w:rFonts w:ascii="Century Schoolbook" w:eastAsia="PMingLiU" w:hAnsi="Century Schoolbook" w:cs="PMingLiU"/>
          <w:sz w:val="26"/>
          <w:szCs w:val="26"/>
        </w:rPr>
        <w:t>, however,</w:t>
      </w:r>
      <w:r w:rsidRPr="00FD1C8E">
        <w:rPr>
          <w:rFonts w:ascii="Century Schoolbook" w:eastAsia="PMingLiU" w:hAnsi="Century Schoolbook" w:cs="PMingLiU"/>
          <w:sz w:val="26"/>
          <w:szCs w:val="26"/>
        </w:rPr>
        <w:t xml:space="preserve"> when a §</w:t>
      </w:r>
      <w:r w:rsidR="00913C02">
        <w:rPr>
          <w:rFonts w:ascii="Century Schoolbook" w:eastAsia="PMingLiU" w:hAnsi="Century Schoolbook" w:cs="PMingLiU"/>
          <w:sz w:val="26"/>
          <w:szCs w:val="26"/>
        </w:rPr>
        <w:t> </w:t>
      </w:r>
      <w:r w:rsidRPr="00FD1C8E">
        <w:rPr>
          <w:rFonts w:ascii="Century Schoolbook" w:eastAsia="PMingLiU" w:hAnsi="Century Schoolbook" w:cs="PMingLiU"/>
          <w:sz w:val="26"/>
          <w:szCs w:val="26"/>
        </w:rPr>
        <w:t xml:space="preserve">1983 action does not implicate the validity of a conviction or the duration of confinement.  </w:t>
      </w:r>
      <w:r w:rsidRPr="00FD1C8E">
        <w:rPr>
          <w:rFonts w:ascii="Century Schoolbook" w:eastAsia="PMingLiU" w:hAnsi="Century Schoolbook" w:cs="PMingLiU"/>
          <w:i/>
          <w:sz w:val="26"/>
          <w:szCs w:val="26"/>
        </w:rPr>
        <w:t>Muhammad v. Close</w:t>
      </w:r>
      <w:r w:rsidRPr="00FD1C8E">
        <w:rPr>
          <w:rFonts w:ascii="Century Schoolbook" w:eastAsia="PMingLiU" w:hAnsi="Century Schoolbook" w:cs="PMingLiU"/>
          <w:sz w:val="26"/>
          <w:szCs w:val="26"/>
        </w:rPr>
        <w:t>, 540 U.S. 749, 751-52, 754-55 (2004).</w:t>
      </w:r>
    </w:p>
    <w:p w:rsidR="00FD1C8E" w:rsidRPr="00FD1C8E" w:rsidRDefault="00FD1C8E" w:rsidP="00FD1C8E">
      <w:pPr>
        <w:widowControl/>
        <w:spacing w:line="360" w:lineRule="auto"/>
        <w:ind w:firstLine="720"/>
        <w:jc w:val="both"/>
        <w:rPr>
          <w:rFonts w:ascii="Century Schoolbook" w:eastAsia="PMingLiU" w:hAnsi="Century Schoolbook" w:cs="PMingLiU"/>
          <w:sz w:val="26"/>
          <w:szCs w:val="26"/>
        </w:rPr>
      </w:pPr>
      <w:r w:rsidRPr="00FD1C8E">
        <w:rPr>
          <w:rFonts w:ascii="Century Schoolbook" w:eastAsia="PMingLiU" w:hAnsi="Century Schoolbook" w:cs="PMingLiU"/>
          <w:sz w:val="26"/>
          <w:szCs w:val="26"/>
        </w:rPr>
        <w:t xml:space="preserve">When retaliation is alleged, an inmate need not show that a disciplinary conviction has been overturned.  </w:t>
      </w:r>
      <w:r w:rsidRPr="00FD1C8E">
        <w:rPr>
          <w:rFonts w:ascii="Century Schoolbook" w:eastAsia="PMingLiU" w:hAnsi="Century Schoolbook" w:cs="PMingLiU"/>
          <w:i/>
          <w:sz w:val="26"/>
          <w:szCs w:val="26"/>
        </w:rPr>
        <w:t>See Woods v. Smith</w:t>
      </w:r>
      <w:r w:rsidRPr="00FD1C8E">
        <w:rPr>
          <w:rFonts w:ascii="Century Schoolbook" w:eastAsia="PMingLiU" w:hAnsi="Century Schoolbook" w:cs="PMingLiU"/>
          <w:sz w:val="26"/>
          <w:szCs w:val="26"/>
        </w:rPr>
        <w:t>, 60 F.3d 1161, 1164-65 (5th Cir. 1995).  A retaliation claim focuses not on the merit</w:t>
      </w:r>
      <w:r w:rsidR="00913C02">
        <w:rPr>
          <w:rFonts w:ascii="Century Schoolbook" w:eastAsia="PMingLiU" w:hAnsi="Century Schoolbook" w:cs="PMingLiU"/>
          <w:sz w:val="26"/>
          <w:szCs w:val="26"/>
        </w:rPr>
        <w:t>s</w:t>
      </w:r>
      <w:r w:rsidRPr="00FD1C8E">
        <w:rPr>
          <w:rFonts w:ascii="Century Schoolbook" w:eastAsia="PMingLiU" w:hAnsi="Century Schoolbook" w:cs="PMingLiU"/>
          <w:sz w:val="26"/>
          <w:szCs w:val="26"/>
        </w:rPr>
        <w:t xml:space="preserve"> of the disciplinary proceeding but on the retaliatory “interference, asking only whether there has been an obstruction of the exercise of a constitutional right.”  </w:t>
      </w:r>
      <w:r w:rsidRPr="00FD1C8E">
        <w:rPr>
          <w:rFonts w:ascii="Century Schoolbook" w:eastAsia="PMingLiU" w:hAnsi="Century Schoolbook" w:cs="PMingLiU"/>
          <w:i/>
          <w:sz w:val="26"/>
          <w:szCs w:val="26"/>
        </w:rPr>
        <w:t>Id</w:t>
      </w:r>
      <w:r w:rsidRPr="00FD1C8E">
        <w:rPr>
          <w:rFonts w:ascii="Century Schoolbook" w:eastAsia="PMingLiU" w:hAnsi="Century Schoolbook" w:cs="PMingLiU"/>
          <w:sz w:val="26"/>
          <w:szCs w:val="26"/>
        </w:rPr>
        <w:t xml:space="preserve">. at 1165.  The “concern is whether there was retaliation for the exercise of a constitutional right, separate and apart from the apparent validity of the underlying disciplinary” conviction.  </w:t>
      </w:r>
      <w:r w:rsidRPr="00FD1C8E">
        <w:rPr>
          <w:rFonts w:ascii="Century Schoolbook" w:eastAsia="PMingLiU" w:hAnsi="Century Schoolbook" w:cs="PMingLiU"/>
          <w:i/>
          <w:sz w:val="26"/>
          <w:szCs w:val="26"/>
        </w:rPr>
        <w:t>Id</w:t>
      </w:r>
      <w:r w:rsidRPr="00FD1C8E">
        <w:rPr>
          <w:rFonts w:ascii="Century Schoolbook" w:eastAsia="PMingLiU" w:hAnsi="Century Schoolbook" w:cs="PMingLiU"/>
          <w:sz w:val="26"/>
          <w:szCs w:val="26"/>
        </w:rPr>
        <w:t>.</w:t>
      </w:r>
    </w:p>
    <w:p w:rsidR="0072498F" w:rsidRDefault="00FD1C8E" w:rsidP="00DB094B">
      <w:pPr>
        <w:widowControl/>
        <w:spacing w:line="360" w:lineRule="auto"/>
        <w:ind w:firstLine="720"/>
        <w:jc w:val="both"/>
        <w:rPr>
          <w:rFonts w:ascii="Century Schoolbook" w:eastAsia="PMingLiU" w:hAnsi="Century Schoolbook" w:cs="PMingLiU"/>
          <w:sz w:val="26"/>
          <w:szCs w:val="26"/>
        </w:rPr>
      </w:pPr>
      <w:r>
        <w:rPr>
          <w:rFonts w:ascii="Century Schoolbook" w:eastAsia="PMingLiU" w:hAnsi="Century Schoolbook" w:cs="PMingLiU"/>
          <w:sz w:val="26"/>
          <w:szCs w:val="26"/>
        </w:rPr>
        <w:t xml:space="preserve">As noted, the only </w:t>
      </w:r>
      <w:r w:rsidR="00913C02">
        <w:rPr>
          <w:rFonts w:ascii="Century Schoolbook" w:eastAsia="PMingLiU" w:hAnsi="Century Schoolbook" w:cs="PMingLiU"/>
          <w:sz w:val="26"/>
          <w:szCs w:val="26"/>
        </w:rPr>
        <w:t>remaining</w:t>
      </w:r>
      <w:r>
        <w:rPr>
          <w:rFonts w:ascii="Century Schoolbook" w:eastAsia="PMingLiU" w:hAnsi="Century Schoolbook" w:cs="PMingLiU"/>
          <w:sz w:val="26"/>
          <w:szCs w:val="26"/>
        </w:rPr>
        <w:t xml:space="preserve"> claim in this action following this court’s </w:t>
      </w:r>
      <w:r w:rsidR="0055512E">
        <w:rPr>
          <w:rFonts w:ascii="Century Schoolbook" w:eastAsia="PMingLiU" w:hAnsi="Century Schoolbook" w:cs="PMingLiU"/>
          <w:sz w:val="26"/>
          <w:szCs w:val="26"/>
        </w:rPr>
        <w:t>prior</w:t>
      </w:r>
      <w:r>
        <w:rPr>
          <w:rFonts w:ascii="Century Schoolbook" w:eastAsia="PMingLiU" w:hAnsi="Century Schoolbook" w:cs="PMingLiU"/>
          <w:sz w:val="26"/>
          <w:szCs w:val="26"/>
        </w:rPr>
        <w:t xml:space="preserve"> </w:t>
      </w:r>
      <w:r w:rsidR="00CC1E4C">
        <w:rPr>
          <w:rFonts w:ascii="Century Schoolbook" w:eastAsia="PMingLiU" w:hAnsi="Century Schoolbook" w:cs="PMingLiU"/>
          <w:sz w:val="26"/>
          <w:szCs w:val="26"/>
        </w:rPr>
        <w:t>decision</w:t>
      </w:r>
      <w:r>
        <w:rPr>
          <w:rFonts w:ascii="Century Schoolbook" w:eastAsia="PMingLiU" w:hAnsi="Century Schoolbook" w:cs="PMingLiU"/>
          <w:sz w:val="26"/>
          <w:szCs w:val="26"/>
        </w:rPr>
        <w:t xml:space="preserve"> was Hanna’s</w:t>
      </w:r>
      <w:r w:rsidRPr="00FD1C8E">
        <w:rPr>
          <w:rFonts w:ascii="Century Schoolbook" w:eastAsia="PMingLiU" w:hAnsi="Century Schoolbook" w:cs="PMingLiU"/>
          <w:sz w:val="26"/>
          <w:szCs w:val="26"/>
        </w:rPr>
        <w:t xml:space="preserve"> retaliation claim</w:t>
      </w:r>
      <w:r>
        <w:rPr>
          <w:rFonts w:ascii="Century Schoolbook" w:eastAsia="PMingLiU" w:hAnsi="Century Schoolbook" w:cs="PMingLiU"/>
          <w:sz w:val="26"/>
          <w:szCs w:val="26"/>
        </w:rPr>
        <w:t xml:space="preserve">.  </w:t>
      </w:r>
      <w:r>
        <w:rPr>
          <w:rFonts w:ascii="Century Schoolbook" w:eastAsia="PMingLiU" w:hAnsi="Century Schoolbook" w:cs="PMingLiU"/>
          <w:i/>
          <w:sz w:val="26"/>
          <w:szCs w:val="26"/>
        </w:rPr>
        <w:t xml:space="preserve">See </w:t>
      </w:r>
      <w:r w:rsidRPr="002655B6">
        <w:rPr>
          <w:rFonts w:ascii="Century Schoolbook" w:eastAsia="PMingLiU" w:hAnsi="Century Schoolbook" w:cs="PMingLiU"/>
          <w:i/>
          <w:sz w:val="26"/>
          <w:szCs w:val="26"/>
        </w:rPr>
        <w:t>Hanna</w:t>
      </w:r>
      <w:r>
        <w:rPr>
          <w:rFonts w:ascii="Century Schoolbook" w:eastAsia="PMingLiU" w:hAnsi="Century Schoolbook" w:cs="PMingLiU"/>
          <w:sz w:val="26"/>
          <w:szCs w:val="26"/>
        </w:rPr>
        <w:t>,</w:t>
      </w:r>
      <w:r w:rsidRPr="002655B6">
        <w:rPr>
          <w:rFonts w:ascii="Century Schoolbook" w:eastAsia="PMingLiU" w:hAnsi="Century Schoolbook" w:cs="PMingLiU"/>
          <w:i/>
          <w:sz w:val="26"/>
          <w:szCs w:val="26"/>
        </w:rPr>
        <w:t xml:space="preserve"> </w:t>
      </w:r>
      <w:r w:rsidRPr="00640360">
        <w:rPr>
          <w:rFonts w:ascii="Century Schoolbook" w:eastAsia="PMingLiU" w:hAnsi="Century Schoolbook" w:cs="PMingLiU"/>
          <w:sz w:val="26"/>
          <w:szCs w:val="26"/>
        </w:rPr>
        <w:t xml:space="preserve">415 F. </w:t>
      </w:r>
      <w:proofErr w:type="spellStart"/>
      <w:r w:rsidRPr="00640360">
        <w:rPr>
          <w:rFonts w:ascii="Century Schoolbook" w:eastAsia="PMingLiU" w:hAnsi="Century Schoolbook" w:cs="PMingLiU"/>
          <w:sz w:val="26"/>
          <w:szCs w:val="26"/>
        </w:rPr>
        <w:t>App’x</w:t>
      </w:r>
      <w:proofErr w:type="spellEnd"/>
      <w:r w:rsidRPr="00640360">
        <w:rPr>
          <w:rFonts w:ascii="Century Schoolbook" w:eastAsia="PMingLiU" w:hAnsi="Century Schoolbook" w:cs="PMingLiU"/>
          <w:sz w:val="26"/>
          <w:szCs w:val="26"/>
        </w:rPr>
        <w:t xml:space="preserve"> </w:t>
      </w:r>
      <w:r>
        <w:rPr>
          <w:rFonts w:ascii="Century Schoolbook" w:eastAsia="PMingLiU" w:hAnsi="Century Schoolbook" w:cs="PMingLiU"/>
          <w:sz w:val="26"/>
          <w:szCs w:val="26"/>
        </w:rPr>
        <w:t xml:space="preserve">at 535-37.  </w:t>
      </w:r>
      <w:r w:rsidR="00C766F7">
        <w:rPr>
          <w:rFonts w:ascii="Century Schoolbook" w:eastAsia="PMingLiU" w:hAnsi="Century Schoolbook" w:cs="PMingLiU"/>
          <w:sz w:val="26"/>
          <w:szCs w:val="26"/>
        </w:rPr>
        <w:t>A</w:t>
      </w:r>
      <w:r w:rsidR="00C766F7" w:rsidRPr="00FD1C8E">
        <w:rPr>
          <w:rFonts w:ascii="Century Schoolbook" w:eastAsia="PMingLiU" w:hAnsi="Century Schoolbook" w:cs="PMingLiU"/>
          <w:sz w:val="26"/>
          <w:szCs w:val="26"/>
        </w:rPr>
        <w:t xml:space="preserve">t the time of </w:t>
      </w:r>
      <w:r w:rsidR="00C766F7">
        <w:rPr>
          <w:rFonts w:ascii="Century Schoolbook" w:eastAsia="PMingLiU" w:hAnsi="Century Schoolbook" w:cs="PMingLiU"/>
          <w:sz w:val="26"/>
          <w:szCs w:val="26"/>
        </w:rPr>
        <w:t>the</w:t>
      </w:r>
      <w:r w:rsidR="00C766F7" w:rsidRPr="00FD1C8E">
        <w:rPr>
          <w:rFonts w:ascii="Century Schoolbook" w:eastAsia="PMingLiU" w:hAnsi="Century Schoolbook" w:cs="PMingLiU"/>
          <w:sz w:val="26"/>
          <w:szCs w:val="26"/>
        </w:rPr>
        <w:t xml:space="preserve"> earlier </w:t>
      </w:r>
      <w:r w:rsidR="00C766F7">
        <w:rPr>
          <w:rFonts w:ascii="Century Schoolbook" w:eastAsia="PMingLiU" w:hAnsi="Century Schoolbook" w:cs="PMingLiU"/>
          <w:sz w:val="26"/>
          <w:szCs w:val="26"/>
        </w:rPr>
        <w:t>appeal</w:t>
      </w:r>
      <w:r w:rsidR="00C766F7" w:rsidRPr="00FD1C8E">
        <w:rPr>
          <w:rFonts w:ascii="Century Schoolbook" w:eastAsia="PMingLiU" w:hAnsi="Century Schoolbook" w:cs="PMingLiU"/>
          <w:sz w:val="26"/>
          <w:szCs w:val="26"/>
        </w:rPr>
        <w:t>, the applicable limitations period was not at issue</w:t>
      </w:r>
      <w:r w:rsidR="00C766F7">
        <w:rPr>
          <w:rFonts w:ascii="Century Schoolbook" w:eastAsia="PMingLiU" w:hAnsi="Century Schoolbook" w:cs="PMingLiU"/>
          <w:sz w:val="26"/>
          <w:szCs w:val="26"/>
        </w:rPr>
        <w:t xml:space="preserve">, </w:t>
      </w:r>
      <w:r w:rsidR="00C766F7" w:rsidRPr="00C766F7">
        <w:rPr>
          <w:rFonts w:ascii="Century Schoolbook" w:eastAsia="PMingLiU" w:hAnsi="Century Schoolbook" w:cs="PMingLiU"/>
          <w:i/>
          <w:sz w:val="26"/>
          <w:szCs w:val="26"/>
        </w:rPr>
        <w:t>see id.</w:t>
      </w:r>
      <w:r w:rsidR="00C766F7">
        <w:rPr>
          <w:rFonts w:ascii="Century Schoolbook" w:eastAsia="PMingLiU" w:hAnsi="Century Schoolbook" w:cs="PMingLiU"/>
          <w:sz w:val="26"/>
          <w:szCs w:val="26"/>
        </w:rPr>
        <w:t xml:space="preserve"> </w:t>
      </w:r>
      <w:proofErr w:type="gramStart"/>
      <w:r w:rsidR="00C766F7">
        <w:rPr>
          <w:rFonts w:ascii="Century Schoolbook" w:eastAsia="PMingLiU" w:hAnsi="Century Schoolbook" w:cs="PMingLiU"/>
          <w:sz w:val="26"/>
          <w:szCs w:val="26"/>
        </w:rPr>
        <w:t>at</w:t>
      </w:r>
      <w:proofErr w:type="gramEnd"/>
      <w:r w:rsidR="00C766F7">
        <w:rPr>
          <w:rFonts w:ascii="Century Schoolbook" w:eastAsia="PMingLiU" w:hAnsi="Century Schoolbook" w:cs="PMingLiU"/>
          <w:sz w:val="26"/>
          <w:szCs w:val="26"/>
        </w:rPr>
        <w:t xml:space="preserve"> 534-36, but it is now squarely before this court.  We find that</w:t>
      </w:r>
      <w:r>
        <w:rPr>
          <w:rFonts w:ascii="Century Schoolbook" w:eastAsia="PMingLiU" w:hAnsi="Century Schoolbook" w:cs="PMingLiU"/>
          <w:sz w:val="26"/>
          <w:szCs w:val="26"/>
        </w:rPr>
        <w:t xml:space="preserve"> t</w:t>
      </w:r>
      <w:r w:rsidRPr="00FD1C8E">
        <w:rPr>
          <w:rFonts w:ascii="Century Schoolbook" w:eastAsia="PMingLiU" w:hAnsi="Century Schoolbook" w:cs="PMingLiU"/>
          <w:sz w:val="26"/>
          <w:szCs w:val="26"/>
        </w:rPr>
        <w:t xml:space="preserve">he district court correctly dismissed his lawsuit as time barred because Hanna filed </w:t>
      </w:r>
      <w:r w:rsidR="00913C02">
        <w:rPr>
          <w:rFonts w:ascii="Century Schoolbook" w:eastAsia="PMingLiU" w:hAnsi="Century Schoolbook" w:cs="PMingLiU"/>
          <w:sz w:val="26"/>
          <w:szCs w:val="26"/>
        </w:rPr>
        <w:t>the</w:t>
      </w:r>
      <w:r w:rsidRPr="00FD1C8E">
        <w:rPr>
          <w:rFonts w:ascii="Century Schoolbook" w:eastAsia="PMingLiU" w:hAnsi="Century Schoolbook" w:cs="PMingLiU"/>
          <w:sz w:val="26"/>
          <w:szCs w:val="26"/>
        </w:rPr>
        <w:t xml:space="preserve"> instant action in 2008, five years after the relevan</w:t>
      </w:r>
      <w:r w:rsidR="00DB094B">
        <w:rPr>
          <w:rFonts w:ascii="Century Schoolbook" w:eastAsia="PMingLiU" w:hAnsi="Century Schoolbook" w:cs="PMingLiU"/>
          <w:sz w:val="26"/>
          <w:szCs w:val="26"/>
        </w:rPr>
        <w:t>t disciplinary action in 2003.</w:t>
      </w:r>
    </w:p>
    <w:p w:rsidR="00CC1E4C" w:rsidRPr="00AA35D5" w:rsidRDefault="00CC1E4C" w:rsidP="00DB094B">
      <w:pPr>
        <w:widowControl/>
        <w:spacing w:line="360" w:lineRule="auto"/>
        <w:ind w:firstLine="720"/>
        <w:jc w:val="both"/>
        <w:rPr>
          <w:rFonts w:ascii="Century Schoolbook" w:eastAsia="PMingLiU" w:hAnsi="Century Schoolbook" w:cs="PMingLiU"/>
          <w:sz w:val="26"/>
          <w:szCs w:val="26"/>
        </w:rPr>
      </w:pPr>
    </w:p>
    <w:p w:rsidR="0072498F" w:rsidRPr="00AA35D5" w:rsidRDefault="0072498F">
      <w:pPr>
        <w:widowControl/>
        <w:tabs>
          <w:tab w:val="center" w:pos="4680"/>
          <w:tab w:val="left" w:pos="5040"/>
          <w:tab w:val="left" w:pos="5760"/>
          <w:tab w:val="left" w:pos="6480"/>
          <w:tab w:val="left" w:pos="7200"/>
          <w:tab w:val="left" w:pos="7920"/>
          <w:tab w:val="left" w:pos="8640"/>
        </w:tabs>
        <w:spacing w:line="360" w:lineRule="auto"/>
        <w:jc w:val="both"/>
        <w:rPr>
          <w:rFonts w:ascii="Century Schoolbook" w:eastAsia="PMingLiU" w:hAnsi="Century Schoolbook" w:cs="PMingLiU"/>
          <w:sz w:val="26"/>
          <w:szCs w:val="26"/>
        </w:rPr>
      </w:pPr>
      <w:r w:rsidRPr="00AA35D5">
        <w:rPr>
          <w:rFonts w:ascii="Century Schoolbook" w:eastAsia="PMingLiU" w:hAnsi="Century Schoolbook" w:cs="PMingLiU"/>
          <w:sz w:val="26"/>
          <w:szCs w:val="26"/>
        </w:rPr>
        <w:tab/>
        <w:t xml:space="preserve">IV. </w:t>
      </w:r>
    </w:p>
    <w:p w:rsidR="000A6B1B" w:rsidRDefault="007249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entury Schoolbook" w:eastAsia="PMingLiU" w:hAnsi="Century Schoolbook" w:cs="PMingLiU"/>
          <w:sz w:val="26"/>
          <w:szCs w:val="26"/>
        </w:rPr>
      </w:pPr>
      <w:r w:rsidRPr="00AA35D5">
        <w:rPr>
          <w:rFonts w:ascii="Century Schoolbook" w:eastAsia="PMingLiU" w:hAnsi="Century Schoolbook" w:cs="PMingLiU"/>
          <w:sz w:val="26"/>
          <w:szCs w:val="26"/>
        </w:rPr>
        <w:t xml:space="preserve">Accordingly, we </w:t>
      </w:r>
      <w:r w:rsidR="00FD1C8E">
        <w:rPr>
          <w:rFonts w:ascii="Century Schoolbook" w:eastAsia="PMingLiU" w:hAnsi="Century Schoolbook" w:cs="PMingLiU"/>
          <w:sz w:val="26"/>
          <w:szCs w:val="26"/>
        </w:rPr>
        <w:t>affirm.</w:t>
      </w:r>
      <w:bookmarkStart w:id="7" w:name="start_document"/>
      <w:bookmarkStart w:id="8" w:name="QuickMark"/>
      <w:bookmarkEnd w:id="7"/>
      <w:bookmarkEnd w:id="8"/>
    </w:p>
    <w:p w:rsidR="000A6B1B" w:rsidRPr="000A6B1B" w:rsidRDefault="000A6B1B" w:rsidP="00C72CF7">
      <w:pPr>
        <w:widowControl/>
        <w:autoSpaceDE/>
        <w:autoSpaceDN/>
        <w:adjustRightInd/>
        <w:spacing w:after="160" w:line="360" w:lineRule="auto"/>
        <w:jc w:val="both"/>
        <w:rPr>
          <w:rFonts w:ascii="Century Schoolbook" w:hAnsi="Century Schoolbook"/>
          <w:sz w:val="26"/>
          <w:szCs w:val="26"/>
        </w:rPr>
      </w:pPr>
      <w:r>
        <w:rPr>
          <w:rFonts w:ascii="Century Schoolbook" w:eastAsia="PMingLiU" w:hAnsi="Century Schoolbook" w:cs="PMingLiU"/>
          <w:sz w:val="26"/>
          <w:szCs w:val="26"/>
        </w:rPr>
        <w:br w:type="page"/>
      </w:r>
      <w:r w:rsidRPr="000A6B1B">
        <w:rPr>
          <w:rFonts w:ascii="Century Schoolbook" w:hAnsi="Century Schoolbook"/>
          <w:sz w:val="26"/>
          <w:szCs w:val="26"/>
        </w:rPr>
        <w:lastRenderedPageBreak/>
        <w:t>EMILIO M. GARZA, Circuit Judge, specially concurring:</w:t>
      </w:r>
    </w:p>
    <w:p w:rsidR="000A6B1B" w:rsidRPr="000A6B1B" w:rsidRDefault="000A6B1B" w:rsidP="00C72CF7">
      <w:pPr>
        <w:spacing w:line="360" w:lineRule="auto"/>
        <w:ind w:firstLine="720"/>
        <w:jc w:val="both"/>
        <w:rPr>
          <w:rFonts w:ascii="Century Schoolbook" w:hAnsi="Century Schoolbook"/>
          <w:sz w:val="26"/>
          <w:szCs w:val="26"/>
        </w:rPr>
      </w:pPr>
      <w:r w:rsidRPr="000A6B1B">
        <w:rPr>
          <w:rFonts w:ascii="Century Schoolbook" w:hAnsi="Century Schoolbook"/>
          <w:sz w:val="26"/>
          <w:szCs w:val="26"/>
        </w:rPr>
        <w:t xml:space="preserve">I concur in the judgment, as it follows from the correct application of </w:t>
      </w:r>
      <w:r w:rsidRPr="000A6B1B">
        <w:rPr>
          <w:rFonts w:ascii="Century Schoolbook" w:hAnsi="Century Schoolbook"/>
          <w:i/>
          <w:sz w:val="26"/>
          <w:szCs w:val="26"/>
        </w:rPr>
        <w:t>Woods v. Smith</w:t>
      </w:r>
      <w:r w:rsidRPr="000A6B1B">
        <w:rPr>
          <w:rFonts w:ascii="Century Schoolbook" w:hAnsi="Century Schoolbook"/>
          <w:sz w:val="26"/>
          <w:szCs w:val="26"/>
        </w:rPr>
        <w:t>, 60 F</w:t>
      </w:r>
      <w:bookmarkStart w:id="9" w:name="_GoBack"/>
      <w:bookmarkEnd w:id="9"/>
      <w:r w:rsidRPr="000A6B1B">
        <w:rPr>
          <w:rFonts w:ascii="Century Schoolbook" w:hAnsi="Century Schoolbook"/>
          <w:sz w:val="26"/>
          <w:szCs w:val="26"/>
        </w:rPr>
        <w:t xml:space="preserve">.3d 1161 (5th Cir. 1995).  In </w:t>
      </w:r>
      <w:r w:rsidRPr="000A6B1B">
        <w:rPr>
          <w:rFonts w:ascii="Century Schoolbook" w:hAnsi="Century Schoolbook"/>
          <w:i/>
          <w:sz w:val="26"/>
          <w:szCs w:val="26"/>
        </w:rPr>
        <w:t>Woods</w:t>
      </w:r>
      <w:r w:rsidRPr="000A6B1B">
        <w:rPr>
          <w:rFonts w:ascii="Century Schoolbook" w:hAnsi="Century Schoolbook"/>
          <w:sz w:val="26"/>
          <w:szCs w:val="26"/>
        </w:rPr>
        <w:t xml:space="preserve">, we explained that § 1983  retaliation claims are not subject to a favorable termination requirement, since, according to the panel, such claims only allege retaliatory “interference” with a constitutional right, and do not challenge a disciplinary conviction on the merits.  </w:t>
      </w:r>
      <w:r w:rsidRPr="000A6B1B">
        <w:rPr>
          <w:rFonts w:ascii="Century Schoolbook" w:hAnsi="Century Schoolbook"/>
          <w:i/>
          <w:sz w:val="26"/>
          <w:szCs w:val="26"/>
        </w:rPr>
        <w:t>Woods</w:t>
      </w:r>
      <w:r w:rsidRPr="000A6B1B">
        <w:rPr>
          <w:rFonts w:ascii="Century Schoolbook" w:hAnsi="Century Schoolbook"/>
          <w:sz w:val="26"/>
          <w:szCs w:val="26"/>
        </w:rPr>
        <w:t xml:space="preserve">, 60 F.3d at 1164–65.  Here, Hanna’s remaining claim alleges that his disciplinary sanctions—ten days in isolation and the loss of 180 days of good-time credit—were retaliation for his exercising his constitutional right to refuse medical treatment.  </w:t>
      </w:r>
      <w:r w:rsidRPr="000A6B1B">
        <w:rPr>
          <w:rFonts w:ascii="Century Schoolbook" w:hAnsi="Century Schoolbook"/>
          <w:i/>
          <w:sz w:val="26"/>
          <w:szCs w:val="26"/>
        </w:rPr>
        <w:t>Hanna v. Maxwell</w:t>
      </w:r>
      <w:r w:rsidRPr="000A6B1B">
        <w:rPr>
          <w:rFonts w:ascii="Century Schoolbook" w:hAnsi="Century Schoolbook"/>
          <w:sz w:val="26"/>
          <w:szCs w:val="26"/>
        </w:rPr>
        <w:t>, 415 F. App’x 533, 535–36 (5th Cir. 2011) (</w:t>
      </w:r>
      <w:r w:rsidRPr="000A6B1B">
        <w:rPr>
          <w:rFonts w:ascii="Century Schoolbook" w:hAnsi="Century Schoolbook"/>
          <w:i/>
          <w:sz w:val="26"/>
          <w:szCs w:val="26"/>
        </w:rPr>
        <w:t>Hanna I</w:t>
      </w:r>
      <w:r w:rsidRPr="000A6B1B">
        <w:rPr>
          <w:rFonts w:ascii="Century Schoolbook" w:hAnsi="Century Schoolbook"/>
          <w:sz w:val="26"/>
          <w:szCs w:val="26"/>
        </w:rPr>
        <w:t xml:space="preserve">).  Accordingly, under </w:t>
      </w:r>
      <w:r w:rsidRPr="000A6B1B">
        <w:rPr>
          <w:rFonts w:ascii="Century Schoolbook" w:hAnsi="Century Schoolbook"/>
          <w:i/>
          <w:sz w:val="26"/>
          <w:szCs w:val="26"/>
        </w:rPr>
        <w:t>Woods</w:t>
      </w:r>
      <w:r w:rsidRPr="000A6B1B">
        <w:rPr>
          <w:rFonts w:ascii="Century Schoolbook" w:hAnsi="Century Schoolbook"/>
          <w:sz w:val="26"/>
          <w:szCs w:val="26"/>
        </w:rPr>
        <w:t xml:space="preserve">, reversal of Hanna’s disciplinary conviction was not a prerequisite to bringing his retaliation claim.  The claim thus accrued in 2003 and is now time-barred.  </w:t>
      </w:r>
    </w:p>
    <w:p w:rsidR="000A6B1B" w:rsidRPr="000A6B1B" w:rsidRDefault="000A6B1B" w:rsidP="00C72CF7">
      <w:pPr>
        <w:spacing w:line="360" w:lineRule="auto"/>
        <w:ind w:firstLine="720"/>
        <w:jc w:val="both"/>
        <w:rPr>
          <w:rFonts w:ascii="Century Schoolbook" w:hAnsi="Century Schoolbook"/>
          <w:sz w:val="26"/>
          <w:szCs w:val="26"/>
        </w:rPr>
      </w:pPr>
      <w:r w:rsidRPr="000A6B1B">
        <w:rPr>
          <w:rFonts w:ascii="Century Schoolbook" w:hAnsi="Century Schoolbook"/>
          <w:sz w:val="26"/>
          <w:szCs w:val="26"/>
        </w:rPr>
        <w:t xml:space="preserve">I write separately to suggest that an en banc court reconsider </w:t>
      </w:r>
      <w:r w:rsidRPr="000A6B1B">
        <w:rPr>
          <w:rFonts w:ascii="Century Schoolbook" w:hAnsi="Century Schoolbook"/>
          <w:i/>
          <w:sz w:val="26"/>
          <w:szCs w:val="26"/>
        </w:rPr>
        <w:t>Woods</w:t>
      </w:r>
      <w:r w:rsidRPr="000A6B1B">
        <w:rPr>
          <w:rFonts w:ascii="Century Schoolbook" w:hAnsi="Century Schoolbook"/>
          <w:sz w:val="26"/>
          <w:szCs w:val="26"/>
        </w:rPr>
        <w:t xml:space="preserve">.  Two years after </w:t>
      </w:r>
      <w:r w:rsidRPr="000A6B1B">
        <w:rPr>
          <w:rFonts w:ascii="Century Schoolbook" w:hAnsi="Century Schoolbook"/>
          <w:i/>
          <w:sz w:val="26"/>
          <w:szCs w:val="26"/>
        </w:rPr>
        <w:t>Woods</w:t>
      </w:r>
      <w:r w:rsidRPr="000A6B1B">
        <w:rPr>
          <w:rFonts w:ascii="Century Schoolbook" w:hAnsi="Century Schoolbook"/>
          <w:sz w:val="26"/>
          <w:szCs w:val="26"/>
        </w:rPr>
        <w:t xml:space="preserve">, the Supreme Court held in </w:t>
      </w:r>
      <w:r w:rsidRPr="000A6B1B">
        <w:rPr>
          <w:rFonts w:ascii="Century Schoolbook" w:hAnsi="Century Schoolbook"/>
          <w:i/>
          <w:sz w:val="26"/>
          <w:szCs w:val="26"/>
        </w:rPr>
        <w:t>Edwards v. Balisok</w:t>
      </w:r>
      <w:r w:rsidRPr="000A6B1B">
        <w:rPr>
          <w:rFonts w:ascii="Century Schoolbook" w:hAnsi="Century Schoolbook"/>
          <w:sz w:val="26"/>
          <w:szCs w:val="26"/>
        </w:rPr>
        <w:t xml:space="preserve">, 520 U.S. 641 (1997), that a prisoner is barred from bringing a § 1983 procedural challenge that, if successful, would necessarily imply the invalidity of a disciplinary conviction resulting in the forfeiture of good-time credits, unless that conviction is first reversed.  </w:t>
      </w:r>
      <w:r w:rsidRPr="000A6B1B">
        <w:rPr>
          <w:rFonts w:ascii="Century Schoolbook" w:hAnsi="Century Schoolbook"/>
          <w:i/>
          <w:sz w:val="26"/>
          <w:szCs w:val="26"/>
        </w:rPr>
        <w:t xml:space="preserve">Id. </w:t>
      </w:r>
      <w:r w:rsidRPr="000A6B1B">
        <w:rPr>
          <w:rFonts w:ascii="Century Schoolbook" w:hAnsi="Century Schoolbook"/>
          <w:sz w:val="26"/>
          <w:szCs w:val="26"/>
        </w:rPr>
        <w:t xml:space="preserve">at 646.  In that case, prisoner Balisok alleged that the procedures used in his disciplinary proceeding violated his Fourteenth Amendment due process rights.  He contended that he was not given any chance to put on a defense or call witnesses and that the hearing officer was biased.  Balisok did not challenge the conviction as a substantive matter, and thus claimed that the favorable termination requirement of </w:t>
      </w:r>
      <w:r w:rsidRPr="000A6B1B">
        <w:rPr>
          <w:rFonts w:ascii="Century Schoolbook" w:hAnsi="Century Schoolbook"/>
          <w:i/>
          <w:sz w:val="26"/>
          <w:szCs w:val="26"/>
        </w:rPr>
        <w:t>Heck v. Humphrey</w:t>
      </w:r>
      <w:r w:rsidRPr="000A6B1B">
        <w:rPr>
          <w:rFonts w:ascii="Century Schoolbook" w:hAnsi="Century Schoolbook"/>
          <w:sz w:val="26"/>
          <w:szCs w:val="26"/>
        </w:rPr>
        <w:t xml:space="preserve">, 512 U.S. 477 (1994), did not bar his claim.  </w:t>
      </w:r>
      <w:r w:rsidRPr="000A6B1B">
        <w:rPr>
          <w:rFonts w:ascii="Century Schoolbook" w:hAnsi="Century Schoolbook"/>
          <w:i/>
          <w:sz w:val="26"/>
          <w:szCs w:val="26"/>
        </w:rPr>
        <w:t>Balisok</w:t>
      </w:r>
      <w:r w:rsidRPr="000A6B1B">
        <w:rPr>
          <w:rFonts w:ascii="Century Schoolbook" w:hAnsi="Century Schoolbook"/>
          <w:sz w:val="26"/>
          <w:szCs w:val="26"/>
        </w:rPr>
        <w:t xml:space="preserve">, 520 U.S. at </w:t>
      </w:r>
      <w:r w:rsidRPr="000A6B1B">
        <w:rPr>
          <w:rFonts w:ascii="Century Schoolbook" w:hAnsi="Century Schoolbook"/>
          <w:sz w:val="26"/>
          <w:szCs w:val="26"/>
        </w:rPr>
        <w:lastRenderedPageBreak/>
        <w:t xml:space="preserve">643–47.  However, the Court concluded that </w:t>
      </w:r>
      <w:r w:rsidRPr="000A6B1B">
        <w:rPr>
          <w:rFonts w:ascii="Century Schoolbook" w:hAnsi="Century Schoolbook"/>
          <w:i/>
          <w:sz w:val="26"/>
          <w:szCs w:val="26"/>
        </w:rPr>
        <w:t xml:space="preserve">Heck </w:t>
      </w:r>
      <w:r w:rsidRPr="000A6B1B">
        <w:rPr>
          <w:rFonts w:ascii="Century Schoolbook" w:hAnsi="Century Schoolbook"/>
          <w:sz w:val="26"/>
          <w:szCs w:val="26"/>
        </w:rPr>
        <w:t xml:space="preserve">still applied because Balisok’s procedural challenge would, if successful, “necessarily imply the invalidity of the deprivation of his good-time credits,” given the gravity of the due process violations alleged.  </w:t>
      </w:r>
      <w:r w:rsidRPr="000A6B1B">
        <w:rPr>
          <w:rFonts w:ascii="Century Schoolbook" w:hAnsi="Century Schoolbook"/>
          <w:i/>
          <w:sz w:val="26"/>
          <w:szCs w:val="26"/>
        </w:rPr>
        <w:t>Balisok</w:t>
      </w:r>
      <w:r w:rsidRPr="000A6B1B">
        <w:rPr>
          <w:rFonts w:ascii="Century Schoolbook" w:hAnsi="Century Schoolbook"/>
          <w:sz w:val="26"/>
          <w:szCs w:val="26"/>
        </w:rPr>
        <w:t>, 520 U.S. at 646.</w:t>
      </w:r>
      <w:r w:rsidRPr="000A6B1B">
        <w:rPr>
          <w:rStyle w:val="FootnoteReference"/>
          <w:rFonts w:ascii="Century Schoolbook" w:hAnsi="Century Schoolbook"/>
          <w:sz w:val="26"/>
          <w:szCs w:val="26"/>
        </w:rPr>
        <w:footnoteReference w:id="2"/>
      </w:r>
    </w:p>
    <w:p w:rsidR="000A6B1B" w:rsidRPr="000A6B1B" w:rsidRDefault="000A6B1B" w:rsidP="00C72CF7">
      <w:pPr>
        <w:spacing w:line="360" w:lineRule="auto"/>
        <w:ind w:firstLine="720"/>
        <w:jc w:val="both"/>
        <w:rPr>
          <w:rFonts w:ascii="Century Schoolbook" w:hAnsi="Century Schoolbook"/>
          <w:sz w:val="26"/>
          <w:szCs w:val="26"/>
        </w:rPr>
      </w:pPr>
      <w:r w:rsidRPr="000A6B1B">
        <w:rPr>
          <w:rFonts w:ascii="Century Schoolbook" w:hAnsi="Century Schoolbook"/>
          <w:sz w:val="26"/>
          <w:szCs w:val="26"/>
        </w:rPr>
        <w:t xml:space="preserve">Like </w:t>
      </w:r>
      <w:proofErr w:type="spellStart"/>
      <w:r w:rsidRPr="000A6B1B">
        <w:rPr>
          <w:rFonts w:ascii="Century Schoolbook" w:hAnsi="Century Schoolbook"/>
          <w:sz w:val="26"/>
          <w:szCs w:val="26"/>
        </w:rPr>
        <w:t>Balisok’s</w:t>
      </w:r>
      <w:proofErr w:type="spellEnd"/>
      <w:r w:rsidRPr="000A6B1B">
        <w:rPr>
          <w:rFonts w:ascii="Century Schoolbook" w:hAnsi="Century Schoolbook"/>
          <w:sz w:val="26"/>
          <w:szCs w:val="26"/>
        </w:rPr>
        <w:t xml:space="preserve"> due process claims, Hanna’s retaliation action, if successful, would necessarily imply the invalidity of a disciplinary conviction resulting in the forfeiture of good-time credits.  Hanna challenges the sanctions resulting from his defiance conviction.  </w:t>
      </w:r>
      <w:r w:rsidRPr="000A6B1B">
        <w:rPr>
          <w:rFonts w:ascii="Century Schoolbook" w:hAnsi="Century Schoolbook"/>
          <w:i/>
          <w:sz w:val="26"/>
          <w:szCs w:val="26"/>
        </w:rPr>
        <w:t>Hanna I</w:t>
      </w:r>
      <w:r w:rsidRPr="000A6B1B">
        <w:rPr>
          <w:rFonts w:ascii="Century Schoolbook" w:hAnsi="Century Schoolbook"/>
          <w:sz w:val="26"/>
          <w:szCs w:val="26"/>
        </w:rPr>
        <w:t xml:space="preserve">, 415 F. App’x at 536.  Crucially, these sanctions included the “deprivation of . . . good-time credits.”  </w:t>
      </w:r>
      <w:r w:rsidRPr="000A6B1B">
        <w:rPr>
          <w:rFonts w:ascii="Century Schoolbook" w:hAnsi="Century Schoolbook"/>
          <w:i/>
          <w:sz w:val="26"/>
          <w:szCs w:val="26"/>
        </w:rPr>
        <w:t>Balisok</w:t>
      </w:r>
      <w:r w:rsidRPr="000A6B1B">
        <w:rPr>
          <w:rFonts w:ascii="Century Schoolbook" w:hAnsi="Century Schoolbook"/>
          <w:sz w:val="26"/>
          <w:szCs w:val="26"/>
        </w:rPr>
        <w:t>, 520 U.S. at 646.</w:t>
      </w:r>
      <w:r w:rsidRPr="000A6B1B">
        <w:rPr>
          <w:rStyle w:val="FootnoteReference"/>
          <w:rFonts w:ascii="Century Schoolbook" w:hAnsi="Century Schoolbook"/>
          <w:sz w:val="26"/>
          <w:szCs w:val="26"/>
        </w:rPr>
        <w:footnoteReference w:id="3"/>
      </w:r>
      <w:r w:rsidRPr="000A6B1B">
        <w:rPr>
          <w:rFonts w:ascii="Century Schoolbook" w:hAnsi="Century Schoolbook"/>
          <w:sz w:val="26"/>
          <w:szCs w:val="26"/>
        </w:rPr>
        <w:t xml:space="preserve">  Hanna’s claim thus falls squarely within the ambit of </w:t>
      </w:r>
      <w:r w:rsidRPr="000A6B1B">
        <w:rPr>
          <w:rFonts w:ascii="Century Schoolbook" w:hAnsi="Century Schoolbook"/>
          <w:i/>
          <w:sz w:val="26"/>
          <w:szCs w:val="26"/>
        </w:rPr>
        <w:t xml:space="preserve">Heck </w:t>
      </w:r>
      <w:r w:rsidRPr="000A6B1B">
        <w:rPr>
          <w:rFonts w:ascii="Century Schoolbook" w:hAnsi="Century Schoolbook"/>
          <w:sz w:val="26"/>
          <w:szCs w:val="26"/>
        </w:rPr>
        <w:t xml:space="preserve">and </w:t>
      </w:r>
      <w:r w:rsidRPr="000A6B1B">
        <w:rPr>
          <w:rFonts w:ascii="Century Schoolbook" w:hAnsi="Century Schoolbook"/>
          <w:i/>
          <w:sz w:val="26"/>
          <w:szCs w:val="26"/>
        </w:rPr>
        <w:t>Balisok</w:t>
      </w:r>
      <w:r w:rsidRPr="000A6B1B">
        <w:rPr>
          <w:rFonts w:ascii="Century Schoolbook" w:hAnsi="Century Schoolbook"/>
          <w:sz w:val="26"/>
          <w:szCs w:val="26"/>
        </w:rPr>
        <w:t>.  Accordingly, as a matter of law, Hanna’s retaliation claim did not accrue until his disciplinary conviction was reversed,</w:t>
      </w:r>
      <w:r w:rsidRPr="000A6B1B">
        <w:rPr>
          <w:rStyle w:val="FootnoteReference"/>
          <w:rFonts w:ascii="Century Schoolbook" w:hAnsi="Century Schoolbook"/>
          <w:sz w:val="26"/>
          <w:szCs w:val="26"/>
        </w:rPr>
        <w:footnoteReference w:id="4"/>
      </w:r>
      <w:r w:rsidRPr="000A6B1B">
        <w:rPr>
          <w:rFonts w:ascii="Century Schoolbook" w:hAnsi="Century Schoolbook"/>
          <w:sz w:val="26"/>
          <w:szCs w:val="26"/>
        </w:rPr>
        <w:t xml:space="preserve"> and the lower court’s time-bar dismissal, while consistent with </w:t>
      </w:r>
      <w:r w:rsidRPr="000A6B1B">
        <w:rPr>
          <w:rFonts w:ascii="Century Schoolbook" w:hAnsi="Century Schoolbook"/>
          <w:i/>
          <w:sz w:val="26"/>
          <w:szCs w:val="26"/>
        </w:rPr>
        <w:t>Woods</w:t>
      </w:r>
      <w:r w:rsidRPr="000A6B1B">
        <w:rPr>
          <w:rFonts w:ascii="Century Schoolbook" w:hAnsi="Century Schoolbook"/>
          <w:sz w:val="26"/>
          <w:szCs w:val="26"/>
        </w:rPr>
        <w:t xml:space="preserve">, runs counter to the Supreme Court’s teaching in </w:t>
      </w:r>
      <w:r w:rsidRPr="000A6B1B">
        <w:rPr>
          <w:rFonts w:ascii="Century Schoolbook" w:hAnsi="Century Schoolbook"/>
          <w:i/>
          <w:sz w:val="26"/>
          <w:szCs w:val="26"/>
        </w:rPr>
        <w:t xml:space="preserve">Heck </w:t>
      </w:r>
      <w:r w:rsidRPr="000A6B1B">
        <w:rPr>
          <w:rFonts w:ascii="Century Schoolbook" w:hAnsi="Century Schoolbook"/>
          <w:sz w:val="26"/>
          <w:szCs w:val="26"/>
        </w:rPr>
        <w:t xml:space="preserve">and </w:t>
      </w:r>
      <w:r w:rsidRPr="000A6B1B">
        <w:rPr>
          <w:rFonts w:ascii="Century Schoolbook" w:hAnsi="Century Schoolbook"/>
          <w:i/>
          <w:sz w:val="26"/>
          <w:szCs w:val="26"/>
        </w:rPr>
        <w:t>Balisok</w:t>
      </w:r>
      <w:r w:rsidRPr="000A6B1B">
        <w:rPr>
          <w:rFonts w:ascii="Century Schoolbook" w:hAnsi="Century Schoolbook"/>
          <w:sz w:val="26"/>
          <w:szCs w:val="26"/>
        </w:rPr>
        <w:t>.</w:t>
      </w:r>
    </w:p>
    <w:p w:rsidR="000A6B1B" w:rsidRPr="000A6B1B" w:rsidRDefault="000A6B1B" w:rsidP="00C72CF7">
      <w:pPr>
        <w:spacing w:line="360" w:lineRule="auto"/>
        <w:ind w:firstLine="720"/>
        <w:jc w:val="both"/>
        <w:rPr>
          <w:rFonts w:ascii="Century Schoolbook" w:hAnsi="Century Schoolbook"/>
          <w:sz w:val="26"/>
          <w:szCs w:val="26"/>
        </w:rPr>
      </w:pPr>
      <w:r w:rsidRPr="000A6B1B">
        <w:rPr>
          <w:rFonts w:ascii="Century Schoolbook" w:hAnsi="Century Schoolbook"/>
          <w:i/>
          <w:sz w:val="26"/>
          <w:szCs w:val="26"/>
        </w:rPr>
        <w:t xml:space="preserve">Woods </w:t>
      </w:r>
      <w:r w:rsidRPr="000A6B1B">
        <w:rPr>
          <w:rFonts w:ascii="Century Schoolbook" w:hAnsi="Century Schoolbook"/>
          <w:sz w:val="26"/>
          <w:szCs w:val="26"/>
        </w:rPr>
        <w:t xml:space="preserve">and many subsequent decisions in this Circuit have established a </w:t>
      </w:r>
      <w:proofErr w:type="gramStart"/>
      <w:r w:rsidRPr="000A6B1B">
        <w:rPr>
          <w:rFonts w:ascii="Century Schoolbook" w:hAnsi="Century Schoolbook"/>
          <w:sz w:val="26"/>
          <w:szCs w:val="26"/>
        </w:rPr>
        <w:lastRenderedPageBreak/>
        <w:t>broad</w:t>
      </w:r>
      <w:proofErr w:type="gramEnd"/>
      <w:r w:rsidRPr="000A6B1B">
        <w:rPr>
          <w:rFonts w:ascii="Century Schoolbook" w:hAnsi="Century Schoolbook"/>
          <w:sz w:val="26"/>
          <w:szCs w:val="26"/>
        </w:rPr>
        <w:t xml:space="preserve"> exemption from </w:t>
      </w:r>
      <w:r w:rsidRPr="000A6B1B">
        <w:rPr>
          <w:rFonts w:ascii="Century Schoolbook" w:hAnsi="Century Schoolbook"/>
          <w:i/>
          <w:sz w:val="26"/>
          <w:szCs w:val="26"/>
        </w:rPr>
        <w:t>Heck</w:t>
      </w:r>
      <w:r w:rsidRPr="000A6B1B">
        <w:rPr>
          <w:rFonts w:ascii="Century Schoolbook" w:hAnsi="Century Schoolbook"/>
          <w:sz w:val="26"/>
          <w:szCs w:val="26"/>
        </w:rPr>
        <w:t>’s favorable termination requirement: So long as a prisoner alleges retaliation for his exercise of constitutional rights, he can bring his claim immediately, even if the alleged retaliation consisted of a disciplinary conviction that deducted good-time credits.</w:t>
      </w:r>
      <w:r w:rsidRPr="000A6B1B">
        <w:rPr>
          <w:rStyle w:val="FootnoteReference"/>
          <w:rFonts w:ascii="Century Schoolbook" w:hAnsi="Century Schoolbook"/>
          <w:sz w:val="26"/>
          <w:szCs w:val="26"/>
        </w:rPr>
        <w:footnoteReference w:id="5"/>
      </w:r>
      <w:r w:rsidRPr="000A6B1B">
        <w:rPr>
          <w:rFonts w:ascii="Century Schoolbook" w:hAnsi="Century Schoolbook"/>
          <w:sz w:val="26"/>
          <w:szCs w:val="26"/>
        </w:rPr>
        <w:t xml:space="preserve">  By contrast, the Supreme Court recognizes no distinction between challenges to retaliatory interference and those targeting disciplinary convictions themselves—between the impact and merits of a conviction.</w:t>
      </w:r>
      <w:r w:rsidRPr="000A6B1B">
        <w:rPr>
          <w:rStyle w:val="FootnoteReference"/>
          <w:rFonts w:ascii="Century Schoolbook" w:hAnsi="Century Schoolbook"/>
          <w:sz w:val="26"/>
          <w:szCs w:val="26"/>
        </w:rPr>
        <w:footnoteReference w:id="6"/>
      </w:r>
      <w:r w:rsidRPr="000A6B1B">
        <w:rPr>
          <w:rFonts w:ascii="Century Schoolbook" w:hAnsi="Century Schoolbook"/>
          <w:sz w:val="26"/>
          <w:szCs w:val="26"/>
        </w:rPr>
        <w:t xml:space="preserve">  Rather, the sole inquiry under </w:t>
      </w:r>
      <w:r w:rsidRPr="000A6B1B">
        <w:rPr>
          <w:rFonts w:ascii="Century Schoolbook" w:hAnsi="Century Schoolbook"/>
          <w:i/>
          <w:sz w:val="26"/>
          <w:szCs w:val="26"/>
        </w:rPr>
        <w:t xml:space="preserve">Heck </w:t>
      </w:r>
      <w:r w:rsidRPr="000A6B1B">
        <w:rPr>
          <w:rFonts w:ascii="Century Schoolbook" w:hAnsi="Century Schoolbook"/>
          <w:sz w:val="26"/>
          <w:szCs w:val="26"/>
        </w:rPr>
        <w:lastRenderedPageBreak/>
        <w:t xml:space="preserve">and </w:t>
      </w:r>
      <w:r w:rsidRPr="000A6B1B">
        <w:rPr>
          <w:rFonts w:ascii="Century Schoolbook" w:hAnsi="Century Schoolbook"/>
          <w:i/>
          <w:sz w:val="26"/>
          <w:szCs w:val="26"/>
        </w:rPr>
        <w:t xml:space="preserve">Balisok </w:t>
      </w:r>
      <w:r w:rsidRPr="000A6B1B">
        <w:rPr>
          <w:rFonts w:ascii="Century Schoolbook" w:hAnsi="Century Schoolbook"/>
          <w:sz w:val="26"/>
          <w:szCs w:val="26"/>
        </w:rPr>
        <w:t xml:space="preserve">is whether a successful claim would necessarily imply the invalidity of a conviction resulting in the loss of good-time credits.  An en banc court should revisit </w:t>
      </w:r>
      <w:r w:rsidRPr="000A6B1B">
        <w:rPr>
          <w:rFonts w:ascii="Century Schoolbook" w:hAnsi="Century Schoolbook"/>
          <w:i/>
          <w:sz w:val="26"/>
          <w:szCs w:val="26"/>
        </w:rPr>
        <w:t>Woods</w:t>
      </w:r>
      <w:r w:rsidRPr="000A6B1B">
        <w:rPr>
          <w:rFonts w:ascii="Century Schoolbook" w:hAnsi="Century Schoolbook"/>
          <w:sz w:val="26"/>
          <w:szCs w:val="26"/>
        </w:rPr>
        <w:t xml:space="preserve"> and resolve this conflict between our precedents and Supreme Court jurisprudence.</w:t>
      </w:r>
    </w:p>
    <w:p w:rsidR="0072498F" w:rsidRPr="000A6B1B" w:rsidRDefault="0072498F" w:rsidP="000A6B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entury Schoolbook" w:eastAsia="PMingLiU" w:hAnsi="Century Schoolbook" w:cs="PMingLiU"/>
          <w:sz w:val="26"/>
          <w:szCs w:val="26"/>
        </w:rPr>
      </w:pPr>
    </w:p>
    <w:sectPr w:rsidR="0072498F" w:rsidRPr="000A6B1B" w:rsidSect="00C51A3B">
      <w:headerReference w:type="default" r:id="rId13"/>
      <w:footerReference w:type="default" r:id="rId14"/>
      <w:type w:val="continuous"/>
      <w:pgSz w:w="12240" w:h="15840"/>
      <w:pgMar w:top="936" w:right="1440" w:bottom="810" w:left="1440" w:header="936" w:footer="81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D8A" w:rsidRDefault="005F2D8A" w:rsidP="0072498F">
      <w:r>
        <w:separator/>
      </w:r>
    </w:p>
  </w:endnote>
  <w:endnote w:type="continuationSeparator" w:id="0">
    <w:p w:rsidR="005F2D8A" w:rsidRDefault="005F2D8A" w:rsidP="0072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4F" w:rsidRDefault="00831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4F" w:rsidRDefault="008315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4F" w:rsidRDefault="008315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8F" w:rsidRDefault="0072498F">
    <w:pPr>
      <w:spacing w:line="240" w:lineRule="exact"/>
    </w:pPr>
  </w:p>
  <w:p w:rsidR="0072498F" w:rsidRDefault="0072498F">
    <w:pPr>
      <w:framePr w:w="9361" w:wrap="notBeside" w:vAnchor="text" w:hAnchor="text" w:x="1" w:y="1"/>
      <w:jc w:val="center"/>
      <w:rPr>
        <w:rFonts w:ascii="Century Schoolbook" w:hAnsi="Century Schoolbook" w:cs="Century Schoolbook"/>
        <w:sz w:val="26"/>
        <w:szCs w:val="26"/>
      </w:rPr>
    </w:pPr>
    <w:r>
      <w:rPr>
        <w:rFonts w:ascii="Century Schoolbook" w:hAnsi="Century Schoolbook" w:cs="Century Schoolbook"/>
        <w:sz w:val="26"/>
        <w:szCs w:val="26"/>
      </w:rPr>
      <w:fldChar w:fldCharType="begin"/>
    </w:r>
    <w:r>
      <w:rPr>
        <w:rFonts w:ascii="Century Schoolbook" w:hAnsi="Century Schoolbook" w:cs="Century Schoolbook"/>
        <w:sz w:val="26"/>
        <w:szCs w:val="26"/>
      </w:rPr>
      <w:instrText xml:space="preserve">PAGE </w:instrText>
    </w:r>
    <w:r>
      <w:rPr>
        <w:rFonts w:ascii="Century Schoolbook" w:hAnsi="Century Schoolbook" w:cs="Century Schoolbook"/>
        <w:sz w:val="26"/>
        <w:szCs w:val="26"/>
      </w:rPr>
      <w:fldChar w:fldCharType="separate"/>
    </w:r>
    <w:r w:rsidR="00C72CF7">
      <w:rPr>
        <w:rFonts w:ascii="Century Schoolbook" w:hAnsi="Century Schoolbook" w:cs="Century Schoolbook"/>
        <w:noProof/>
        <w:sz w:val="26"/>
        <w:szCs w:val="26"/>
      </w:rPr>
      <w:t>2</w:t>
    </w:r>
    <w:r>
      <w:rPr>
        <w:rFonts w:ascii="Century Schoolbook" w:hAnsi="Century Schoolbook" w:cs="Century Schoolbook"/>
        <w:sz w:val="26"/>
        <w:szCs w:val="26"/>
      </w:rPr>
      <w:fldChar w:fldCharType="end"/>
    </w:r>
  </w:p>
  <w:p w:rsidR="0072498F" w:rsidRDefault="0072498F"/>
  <w:p w:rsidR="00352FEF" w:rsidRDefault="00352F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D8A" w:rsidRDefault="005F2D8A" w:rsidP="0072498F">
      <w:r>
        <w:separator/>
      </w:r>
    </w:p>
  </w:footnote>
  <w:footnote w:type="continuationSeparator" w:id="0">
    <w:p w:rsidR="005F2D8A" w:rsidRDefault="005F2D8A" w:rsidP="0072498F">
      <w:r>
        <w:continuationSeparator/>
      </w:r>
    </w:p>
  </w:footnote>
  <w:footnote w:id="1">
    <w:p w:rsidR="0072498F" w:rsidRPr="00664176" w:rsidRDefault="0072498F">
      <w:pPr>
        <w:spacing w:after="240"/>
        <w:ind w:firstLine="720"/>
        <w:jc w:val="both"/>
        <w:rPr>
          <w:rFonts w:ascii="Century Schoolbook" w:eastAsia="PMingLiU" w:hAnsi="Century Schoolbook" w:cs="PMingLiU"/>
          <w:sz w:val="22"/>
          <w:szCs w:val="22"/>
        </w:rPr>
      </w:pPr>
      <w:r w:rsidRPr="00664176">
        <w:rPr>
          <w:rStyle w:val="FootnoteReference"/>
          <w:rFonts w:ascii="Century Schoolbook" w:eastAsia="PMingLiU" w:hAnsi="Century Schoolbook" w:cs="PMingLiU"/>
          <w:sz w:val="22"/>
          <w:szCs w:val="22"/>
        </w:rPr>
        <w:t>*</w:t>
      </w:r>
      <w:r w:rsidRPr="00664176">
        <w:rPr>
          <w:rFonts w:ascii="Century Schoolbook" w:eastAsia="PMingLiU" w:hAnsi="Century Schoolbook" w:cs="PMingLiU"/>
          <w:sz w:val="22"/>
          <w:szCs w:val="22"/>
        </w:rPr>
        <w:t xml:space="preserve"> Pursuant to </w:t>
      </w:r>
      <w:r w:rsidRPr="00664176">
        <w:rPr>
          <w:rFonts w:ascii="Century Schoolbook" w:eastAsia="PMingLiU" w:hAnsi="Century Schoolbook" w:cs="PMingLiU"/>
          <w:smallCaps/>
          <w:sz w:val="22"/>
          <w:szCs w:val="22"/>
        </w:rPr>
        <w:t>5th Cir</w:t>
      </w:r>
      <w:r w:rsidRPr="00664176">
        <w:rPr>
          <w:rFonts w:ascii="Century Schoolbook" w:eastAsia="PMingLiU" w:hAnsi="Century Schoolbook" w:cs="PMingLiU"/>
          <w:sz w:val="22"/>
          <w:szCs w:val="22"/>
        </w:rPr>
        <w:t xml:space="preserve">. R. 47.5, the court has determined that this opinion should not be published and is not precedent except under the limited circumstances set forth in </w:t>
      </w:r>
      <w:r w:rsidRPr="00664176">
        <w:rPr>
          <w:rFonts w:ascii="Century Schoolbook" w:eastAsia="PMingLiU" w:hAnsi="Century Schoolbook" w:cs="PMingLiU"/>
          <w:smallCaps/>
          <w:sz w:val="22"/>
          <w:szCs w:val="22"/>
        </w:rPr>
        <w:t>5th Cir</w:t>
      </w:r>
      <w:r w:rsidRPr="00664176">
        <w:rPr>
          <w:rFonts w:ascii="Century Schoolbook" w:eastAsia="PMingLiU" w:hAnsi="Century Schoolbook" w:cs="PMingLiU"/>
          <w:sz w:val="22"/>
          <w:szCs w:val="22"/>
        </w:rPr>
        <w:t>. R. 47.5.4.</w:t>
      </w:r>
    </w:p>
  </w:footnote>
  <w:footnote w:id="2">
    <w:p w:rsidR="000A6B1B" w:rsidRPr="007429F7" w:rsidRDefault="000A6B1B" w:rsidP="003F47CE">
      <w:pPr>
        <w:pStyle w:val="FootnoteText"/>
      </w:pPr>
      <w:r>
        <w:rPr>
          <w:rStyle w:val="FootnoteReference"/>
        </w:rPr>
        <w:footnoteRef/>
      </w:r>
      <w:r>
        <w:t xml:space="preserve"> The disciplinary conviction at issue in </w:t>
      </w:r>
      <w:r w:rsidRPr="007E0C10">
        <w:rPr>
          <w:i/>
        </w:rPr>
        <w:t>Woods</w:t>
      </w:r>
      <w:r>
        <w:t xml:space="preserve"> did not result in a loss of good-time credit.  Subsequently, however, the en banc court applied </w:t>
      </w:r>
      <w:r w:rsidRPr="00781513">
        <w:rPr>
          <w:i/>
        </w:rPr>
        <w:t>Woods</w:t>
      </w:r>
      <w:r>
        <w:rPr>
          <w:i/>
        </w:rPr>
        <w:t xml:space="preserve"> </w:t>
      </w:r>
      <w:r>
        <w:t xml:space="preserve">to a retaliation claim that did involve such a conviction and held that </w:t>
      </w:r>
      <w:r>
        <w:rPr>
          <w:i/>
        </w:rPr>
        <w:t xml:space="preserve">Heck </w:t>
      </w:r>
      <w:r>
        <w:t xml:space="preserve">still did not apply.  </w:t>
      </w:r>
      <w:r w:rsidRPr="00192479">
        <w:rPr>
          <w:i/>
        </w:rPr>
        <w:t>See</w:t>
      </w:r>
      <w:r>
        <w:t xml:space="preserve"> </w:t>
      </w:r>
      <w:r w:rsidRPr="00192479">
        <w:rPr>
          <w:i/>
        </w:rPr>
        <w:t>Clarke v. Stalder</w:t>
      </w:r>
      <w:r w:rsidRPr="00192479">
        <w:t>, 154 F.3d 186</w:t>
      </w:r>
      <w:r>
        <w:t>, 187</w:t>
      </w:r>
      <w:r w:rsidRPr="00192479">
        <w:t xml:space="preserve"> (5th Cir. 1998) (en banc)</w:t>
      </w:r>
      <w:r>
        <w:t xml:space="preserve"> (reinstating panel’s analysis of retaliation claim in Part IV of </w:t>
      </w:r>
      <w:r>
        <w:rPr>
          <w:i/>
        </w:rPr>
        <w:t>Clarke v. Stalder</w:t>
      </w:r>
      <w:r>
        <w:t>, 121 F.3d 222, 231 (5th Cir. 1997)).</w:t>
      </w:r>
    </w:p>
  </w:footnote>
  <w:footnote w:id="3">
    <w:p w:rsidR="000A6B1B" w:rsidRDefault="000A6B1B">
      <w:pPr>
        <w:pStyle w:val="FootnoteText"/>
      </w:pPr>
      <w:r>
        <w:rPr>
          <w:rStyle w:val="FootnoteReference"/>
        </w:rPr>
        <w:footnoteRef/>
      </w:r>
      <w:r>
        <w:t xml:space="preserve"> </w:t>
      </w:r>
      <w:r>
        <w:rPr>
          <w:i/>
        </w:rPr>
        <w:t xml:space="preserve">See </w:t>
      </w:r>
      <w:r w:rsidRPr="00EF1D0D">
        <w:t>USCA5 R. 10–11, 26–27</w:t>
      </w:r>
      <w:r>
        <w:t xml:space="preserve"> (complaint seeking </w:t>
      </w:r>
      <w:r w:rsidRPr="00EF1D0D">
        <w:t xml:space="preserve">damages for allegedly “wrongful, unconstitutional, </w:t>
      </w:r>
      <w:r w:rsidRPr="00712B51">
        <w:rPr>
          <w:i/>
        </w:rPr>
        <w:t>prolonged</w:t>
      </w:r>
      <w:r w:rsidRPr="00EF1D0D">
        <w:t xml:space="preserve"> and/or intens</w:t>
      </w:r>
      <w:r>
        <w:t xml:space="preserve">ified incarceration” imposed </w:t>
      </w:r>
      <w:r w:rsidRPr="00EF1D0D">
        <w:t>pursuant to disciplinary conviction</w:t>
      </w:r>
      <w:r>
        <w:t xml:space="preserve"> (emphasis added))</w:t>
      </w:r>
      <w:r w:rsidRPr="00EF1D0D">
        <w:t xml:space="preserve">.  </w:t>
      </w:r>
      <w:r>
        <w:t xml:space="preserve">Hanna’s ten days in isolation, standing alone, </w:t>
      </w:r>
      <w:r w:rsidRPr="00EF1D0D">
        <w:t xml:space="preserve">would not </w:t>
      </w:r>
      <w:r>
        <w:t xml:space="preserve">have triggered </w:t>
      </w:r>
      <w:r w:rsidRPr="00DA4270">
        <w:rPr>
          <w:i/>
        </w:rPr>
        <w:t>Heck</w:t>
      </w:r>
      <w:r w:rsidRPr="00EF1D0D">
        <w:t xml:space="preserve">, since </w:t>
      </w:r>
      <w:r>
        <w:t xml:space="preserve">the isolation was </w:t>
      </w:r>
      <w:r w:rsidRPr="00EF1D0D">
        <w:t xml:space="preserve">merely a change in the conditions, not the length, of his incarceration.  </w:t>
      </w:r>
      <w:r>
        <w:rPr>
          <w:i/>
        </w:rPr>
        <w:t xml:space="preserve">Cf. </w:t>
      </w:r>
      <w:r w:rsidRPr="00DA4270">
        <w:rPr>
          <w:i/>
        </w:rPr>
        <w:t>Muhammad v. Close</w:t>
      </w:r>
      <w:r w:rsidRPr="00EF1D0D">
        <w:t xml:space="preserve">, 540 U.S. </w:t>
      </w:r>
      <w:r>
        <w:t xml:space="preserve">749, </w:t>
      </w:r>
      <w:r w:rsidRPr="00EF1D0D">
        <w:t>754–55</w:t>
      </w:r>
      <w:r>
        <w:t xml:space="preserve"> (2004) (holding that </w:t>
      </w:r>
      <w:r>
        <w:rPr>
          <w:i/>
        </w:rPr>
        <w:t xml:space="preserve">Heck </w:t>
      </w:r>
      <w:r>
        <w:t>was inapplicable to prisoner’s claim alleging retaliatory prehearing lock-up, because claim did not necessarily imply invalidity of conviction or of loss of good-time credits).</w:t>
      </w:r>
    </w:p>
  </w:footnote>
  <w:footnote w:id="4">
    <w:p w:rsidR="000A6B1B" w:rsidRDefault="000A6B1B" w:rsidP="00AD4393">
      <w:pPr>
        <w:pStyle w:val="FootnoteText"/>
      </w:pPr>
      <w:r>
        <w:rPr>
          <w:rStyle w:val="FootnoteReference"/>
        </w:rPr>
        <w:footnoteRef/>
      </w:r>
      <w:r>
        <w:t xml:space="preserve"> The parties agree that </w:t>
      </w:r>
      <w:r w:rsidRPr="00307D7A">
        <w:t xml:space="preserve">when </w:t>
      </w:r>
      <w:r w:rsidRPr="00307D7A">
        <w:rPr>
          <w:i/>
        </w:rPr>
        <w:t>Heck</w:t>
      </w:r>
      <w:r w:rsidRPr="00307D7A">
        <w:t xml:space="preserve"> bars a claim, the accrual date of an action is delayed until the favorable termination requirement is satisfied.  </w:t>
      </w:r>
      <w:r>
        <w:rPr>
          <w:i/>
        </w:rPr>
        <w:t xml:space="preserve">See </w:t>
      </w:r>
      <w:r w:rsidRPr="0010007C">
        <w:rPr>
          <w:i/>
        </w:rPr>
        <w:t>Wallace v. Kato</w:t>
      </w:r>
      <w:r w:rsidRPr="00307D7A">
        <w:t xml:space="preserve">, 549 U.S. 384, 393 (2007) (“[The </w:t>
      </w:r>
      <w:r w:rsidRPr="00354015">
        <w:rPr>
          <w:i/>
        </w:rPr>
        <w:t>Heck</w:t>
      </w:r>
      <w:r w:rsidRPr="00307D7A">
        <w:t xml:space="preserve"> rule] delays what would otherwise be the accrual date of a tort action until the setting aside of an extant conviction which success in that tort action would impugn.”).  </w:t>
      </w:r>
    </w:p>
  </w:footnote>
  <w:footnote w:id="5">
    <w:p w:rsidR="000A6B1B" w:rsidRPr="00833946" w:rsidRDefault="000A6B1B">
      <w:pPr>
        <w:pStyle w:val="FootnoteText"/>
      </w:pPr>
      <w:r>
        <w:rPr>
          <w:rStyle w:val="FootnoteReference"/>
        </w:rPr>
        <w:footnoteRef/>
      </w:r>
      <w:r>
        <w:t xml:space="preserve"> In the wake of </w:t>
      </w:r>
      <w:r w:rsidRPr="005F6B88">
        <w:rPr>
          <w:i/>
        </w:rPr>
        <w:t>Clarke</w:t>
      </w:r>
      <w:r>
        <w:rPr>
          <w:i/>
        </w:rPr>
        <w:t xml:space="preserve"> v. Stalder</w:t>
      </w:r>
      <w:r>
        <w:t xml:space="preserve">, </w:t>
      </w:r>
      <w:r>
        <w:rPr>
          <w:i/>
        </w:rPr>
        <w:t xml:space="preserve">supra </w:t>
      </w:r>
      <w:r>
        <w:t xml:space="preserve">n.1, which applied </w:t>
      </w:r>
      <w:r w:rsidRPr="003021C6">
        <w:rPr>
          <w:i/>
        </w:rPr>
        <w:t>Woods</w:t>
      </w:r>
      <w:r>
        <w:t xml:space="preserve">, </w:t>
      </w:r>
      <w:r w:rsidRPr="003021C6">
        <w:t>our</w:t>
      </w:r>
      <w:r>
        <w:t xml:space="preserve"> jurisprudence on the question of </w:t>
      </w:r>
      <w:r w:rsidRPr="005F6B88">
        <w:rPr>
          <w:i/>
        </w:rPr>
        <w:t>Heck</w:t>
      </w:r>
      <w:r>
        <w:t xml:space="preserve">’s applicability to retaliation claims has </w:t>
      </w:r>
      <w:r w:rsidRPr="005F6B88">
        <w:t>developed</w:t>
      </w:r>
      <w:r>
        <w:t xml:space="preserve"> through conflicting unpublished opinions.  Many opinions, in line with this panel’s and </w:t>
      </w:r>
      <w:r w:rsidRPr="00523109">
        <w:rPr>
          <w:i/>
        </w:rPr>
        <w:t>Clarke</w:t>
      </w:r>
      <w:r>
        <w:t xml:space="preserve">’s </w:t>
      </w:r>
      <w:r w:rsidRPr="00523109">
        <w:t>reading</w:t>
      </w:r>
      <w:r>
        <w:t xml:space="preserve"> of </w:t>
      </w:r>
      <w:r>
        <w:rPr>
          <w:i/>
        </w:rPr>
        <w:t>Woods</w:t>
      </w:r>
      <w:r>
        <w:t>, have held that § 1983 claims alleging retaliatory disciplinary action</w:t>
      </w:r>
      <w:r>
        <w:rPr>
          <w:i/>
        </w:rPr>
        <w:t xml:space="preserve"> </w:t>
      </w:r>
      <w:r>
        <w:t xml:space="preserve">are categorically exempt from </w:t>
      </w:r>
      <w:r>
        <w:rPr>
          <w:i/>
        </w:rPr>
        <w:t>Heck</w:t>
      </w:r>
      <w:r>
        <w:t xml:space="preserve">.  </w:t>
      </w:r>
      <w:r>
        <w:rPr>
          <w:i/>
        </w:rPr>
        <w:t>See, e.g.</w:t>
      </w:r>
      <w:r>
        <w:t>,</w:t>
      </w:r>
      <w:r>
        <w:rPr>
          <w:i/>
        </w:rPr>
        <w:t xml:space="preserve"> Lynn v. Cockrell</w:t>
      </w:r>
      <w:r>
        <w:t xml:space="preserve">, 86 F. App’x 700 (5th Cir. 2004) (unpublished); </w:t>
      </w:r>
      <w:r>
        <w:rPr>
          <w:i/>
        </w:rPr>
        <w:t>Kelly v. Sanders</w:t>
      </w:r>
      <w:r>
        <w:t xml:space="preserve">, 260 F.3d 622 (5th Cir. 2001) (unpublished).  Other opinions conclude that certain retaliation claims targeting the validity of disciplinary convictions are </w:t>
      </w:r>
      <w:r>
        <w:rPr>
          <w:i/>
        </w:rPr>
        <w:t>Heck-</w:t>
      </w:r>
      <w:r>
        <w:t xml:space="preserve">barred.  </w:t>
      </w:r>
      <w:r>
        <w:rPr>
          <w:i/>
        </w:rPr>
        <w:t>See, e.g.</w:t>
      </w:r>
      <w:r>
        <w:t>,</w:t>
      </w:r>
      <w:r>
        <w:rPr>
          <w:i/>
        </w:rPr>
        <w:t xml:space="preserve"> Peterson v. Peshoff</w:t>
      </w:r>
      <w:r>
        <w:t xml:space="preserve">, 216 F.3d 1079 (5th Cir. 2000) (unpublished) (applying </w:t>
      </w:r>
      <w:r>
        <w:rPr>
          <w:i/>
        </w:rPr>
        <w:t xml:space="preserve">Heck </w:t>
      </w:r>
      <w:r>
        <w:t xml:space="preserve">and </w:t>
      </w:r>
      <w:r>
        <w:rPr>
          <w:i/>
        </w:rPr>
        <w:t xml:space="preserve">Clarke </w:t>
      </w:r>
      <w:r>
        <w:t xml:space="preserve">to bar retaliation claim “to the extent that [the prisoner] seeks to challenge the disciplinary proceedings against him”); </w:t>
      </w:r>
      <w:r>
        <w:rPr>
          <w:i/>
        </w:rPr>
        <w:t>Hodges v. Frasier</w:t>
      </w:r>
      <w:r>
        <w:t>, 176 F.3d 479, at *3 (5th Cir. 1999) (unpublished) (concluding that “</w:t>
      </w:r>
      <w:r w:rsidRPr="006B6607">
        <w:rPr>
          <w:i/>
        </w:rPr>
        <w:t>substantive</w:t>
      </w:r>
      <w:r>
        <w:t xml:space="preserve"> retaliation claims [alleging false disciplinary charges and due process violation, in addition to retaliatory motive] were properly dismissed under the rule in </w:t>
      </w:r>
      <w:r>
        <w:rPr>
          <w:i/>
        </w:rPr>
        <w:t>Heck</w:t>
      </w:r>
      <w:r>
        <w:t xml:space="preserve">” (emphasis added)).  Still other unpublished opinions have distinguished between § 1983 claims alleging false disciplinary charges or due process violations in disciplinary proceedings, which are subject to </w:t>
      </w:r>
      <w:r w:rsidRPr="00306586">
        <w:rPr>
          <w:i/>
        </w:rPr>
        <w:t>Heck</w:t>
      </w:r>
      <w:r>
        <w:t xml:space="preserve">, and claims alleging retaliatory motive in bringing disciplinary charges, which are not.  </w:t>
      </w:r>
      <w:r>
        <w:rPr>
          <w:i/>
        </w:rPr>
        <w:t>See, e.g.</w:t>
      </w:r>
      <w:r>
        <w:t>,</w:t>
      </w:r>
      <w:r>
        <w:rPr>
          <w:i/>
        </w:rPr>
        <w:t xml:space="preserve"> </w:t>
      </w:r>
      <w:r w:rsidRPr="003738DF">
        <w:rPr>
          <w:i/>
        </w:rPr>
        <w:t>Digges v</w:t>
      </w:r>
      <w:r>
        <w:rPr>
          <w:i/>
        </w:rPr>
        <w:t>. Jeffcoat</w:t>
      </w:r>
      <w:r>
        <w:t xml:space="preserve">, 149 F.3d 1177 (5th Cir. 1998) (unpublished) (holding that </w:t>
      </w:r>
      <w:r>
        <w:rPr>
          <w:i/>
        </w:rPr>
        <w:t xml:space="preserve">Heck </w:t>
      </w:r>
      <w:r>
        <w:t xml:space="preserve">barred claims attacking “false disciplinary charges,” but distinguishing these claims from “retaliation claim,” which was not subject to </w:t>
      </w:r>
      <w:r>
        <w:rPr>
          <w:i/>
        </w:rPr>
        <w:t>Heck</w:t>
      </w:r>
      <w:r>
        <w:t xml:space="preserve">); </w:t>
      </w:r>
      <w:r>
        <w:rPr>
          <w:i/>
        </w:rPr>
        <w:t>Sherman v. Quintanilla</w:t>
      </w:r>
      <w:r>
        <w:t xml:space="preserve">, 149 F.3d 1173 (5th Cir. 1998) (unpublished) (same).  In all of these cases, we have lost sight of the central inquiry of </w:t>
      </w:r>
      <w:r>
        <w:rPr>
          <w:i/>
        </w:rPr>
        <w:t>Heck</w:t>
      </w:r>
      <w:r>
        <w:t xml:space="preserve"> and </w:t>
      </w:r>
      <w:r>
        <w:rPr>
          <w:i/>
        </w:rPr>
        <w:t>Balisok</w:t>
      </w:r>
      <w:r>
        <w:t xml:space="preserve">—whether a successful § 1983 claim would necessarily imply the invalidity of a conviction resulting in a sentence change or loss of good-time credits.  Furthermore, even if we were to follow the above opinions and read </w:t>
      </w:r>
      <w:r>
        <w:rPr>
          <w:i/>
        </w:rPr>
        <w:t xml:space="preserve">Woods </w:t>
      </w:r>
      <w:r>
        <w:t xml:space="preserve">as saving only non-“substantive” retaliation claims from </w:t>
      </w:r>
      <w:r>
        <w:rPr>
          <w:i/>
        </w:rPr>
        <w:t>Heck</w:t>
      </w:r>
      <w:r>
        <w:t>, Hanna’s claim was in fact substantive in nature.  He alleged that the disciplinary charges against him were false and ungrounded—that “no written or established prison disciplinary rule . . . prohibits [inmates] from refusing invasive medical treatment or from verbally threatening to sue prison officials . . . .”  USCA5 R. 15.  To read Hanna’s claim as challenging solely the interference with his rights, without regard for the validity of the disciplinary conviction, would be a rather strained and artificial exercise.</w:t>
      </w:r>
    </w:p>
  </w:footnote>
  <w:footnote w:id="6">
    <w:p w:rsidR="000A6B1B" w:rsidRPr="000F6497" w:rsidRDefault="000A6B1B">
      <w:pPr>
        <w:pStyle w:val="FootnoteText"/>
      </w:pPr>
      <w:r>
        <w:rPr>
          <w:rStyle w:val="FootnoteReference"/>
        </w:rPr>
        <w:footnoteRef/>
      </w:r>
      <w:r>
        <w:t xml:space="preserve"> </w:t>
      </w:r>
      <w:r>
        <w:rPr>
          <w:i/>
        </w:rPr>
        <w:t>Cf. Muhammad</w:t>
      </w:r>
      <w:r>
        <w:t xml:space="preserve">, 540 U.S. at 752–55 (holding that a § 1983 retaliation claim was not </w:t>
      </w:r>
      <w:r>
        <w:rPr>
          <w:i/>
        </w:rPr>
        <w:t>Heck</w:t>
      </w:r>
      <w:r>
        <w:t>-barred, not by virtue of its being a retaliation claim, but because the allegedly retaliatory disciplinary conviction resulted only in prehearing lock-up and not necessarily in the loss of good-time credits).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4F" w:rsidRDefault="008315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4F" w:rsidRDefault="008315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54F" w:rsidRDefault="008315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98F" w:rsidRPr="00B11EAB" w:rsidRDefault="0072498F">
    <w:pPr>
      <w:jc w:val="center"/>
      <w:rPr>
        <w:rFonts w:ascii="Century Schoolbook" w:eastAsia="PMingLiU" w:hAnsi="Century Schoolbook" w:cs="PMingLiU"/>
        <w:sz w:val="26"/>
        <w:szCs w:val="26"/>
      </w:rPr>
    </w:pPr>
    <w:r w:rsidRPr="00B11EAB">
      <w:rPr>
        <w:rFonts w:ascii="Century Schoolbook" w:eastAsia="PMingLiU" w:hAnsi="Century Schoolbook" w:cs="PMingLiU"/>
        <w:sz w:val="26"/>
        <w:szCs w:val="26"/>
      </w:rPr>
      <w:t xml:space="preserve">No. </w:t>
    </w:r>
    <w:bookmarkStart w:id="10" w:name="a1"/>
    <w:r w:rsidRPr="00B11EAB">
      <w:rPr>
        <w:rFonts w:ascii="Century Schoolbook" w:eastAsia="PMingLiU" w:hAnsi="Century Schoolbook" w:cs="PMingLiU"/>
        <w:sz w:val="26"/>
        <w:szCs w:val="26"/>
      </w:rPr>
      <w:t>1</w:t>
    </w:r>
    <w:r w:rsidR="00C766F7" w:rsidRPr="00B11EAB">
      <w:rPr>
        <w:rFonts w:ascii="Century Schoolbook" w:eastAsia="PMingLiU" w:hAnsi="Century Schoolbook" w:cs="PMingLiU"/>
        <w:sz w:val="26"/>
        <w:szCs w:val="26"/>
      </w:rPr>
      <w:t>2</w:t>
    </w:r>
    <w:r w:rsidRPr="00B11EAB">
      <w:rPr>
        <w:rFonts w:ascii="Century Schoolbook" w:eastAsia="PMingLiU" w:hAnsi="Century Schoolbook" w:cs="PMingLiU"/>
        <w:sz w:val="26"/>
        <w:szCs w:val="26"/>
      </w:rPr>
      <w:t>-</w:t>
    </w:r>
    <w:bookmarkEnd w:id="10"/>
    <w:r w:rsidR="00C766F7" w:rsidRPr="00B11EAB">
      <w:rPr>
        <w:rFonts w:ascii="Century Schoolbook" w:eastAsia="PMingLiU" w:hAnsi="Century Schoolbook" w:cs="PMingLiU"/>
        <w:sz w:val="26"/>
        <w:szCs w:val="26"/>
      </w:rPr>
      <w:t>30399</w:t>
    </w:r>
  </w:p>
  <w:p w:rsidR="0072498F" w:rsidRDefault="0072498F">
    <w:pPr>
      <w:spacing w:line="240" w:lineRule="exact"/>
      <w:rPr>
        <w:rFonts w:ascii="PMingLiU" w:eastAsia="PMingLiU" w:cs="PMingLiU"/>
        <w:sz w:val="26"/>
        <w:szCs w:val="26"/>
      </w:rPr>
    </w:pPr>
  </w:p>
  <w:p w:rsidR="00352FEF" w:rsidRDefault="00352F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8F"/>
    <w:rsid w:val="00011E10"/>
    <w:rsid w:val="00033D81"/>
    <w:rsid w:val="00052064"/>
    <w:rsid w:val="00090036"/>
    <w:rsid w:val="000960B6"/>
    <w:rsid w:val="000A6B1B"/>
    <w:rsid w:val="00144C7B"/>
    <w:rsid w:val="0014720E"/>
    <w:rsid w:val="00176D8F"/>
    <w:rsid w:val="00176FF2"/>
    <w:rsid w:val="001E3A3B"/>
    <w:rsid w:val="00214BF8"/>
    <w:rsid w:val="00225E1E"/>
    <w:rsid w:val="00262F2F"/>
    <w:rsid w:val="002655B6"/>
    <w:rsid w:val="00291F97"/>
    <w:rsid w:val="002B1D52"/>
    <w:rsid w:val="002B3E6F"/>
    <w:rsid w:val="002D0C3F"/>
    <w:rsid w:val="002D51C2"/>
    <w:rsid w:val="002E2A24"/>
    <w:rsid w:val="00331632"/>
    <w:rsid w:val="00333D39"/>
    <w:rsid w:val="00352FEF"/>
    <w:rsid w:val="0035698D"/>
    <w:rsid w:val="00363DC9"/>
    <w:rsid w:val="00381CA0"/>
    <w:rsid w:val="003D2BCF"/>
    <w:rsid w:val="003F5101"/>
    <w:rsid w:val="004130B0"/>
    <w:rsid w:val="004335AF"/>
    <w:rsid w:val="00437591"/>
    <w:rsid w:val="004851BE"/>
    <w:rsid w:val="004A7C6D"/>
    <w:rsid w:val="004F5F28"/>
    <w:rsid w:val="005118CB"/>
    <w:rsid w:val="0053109B"/>
    <w:rsid w:val="00540885"/>
    <w:rsid w:val="0055512E"/>
    <w:rsid w:val="005A1E35"/>
    <w:rsid w:val="005E2BDC"/>
    <w:rsid w:val="005F2D8A"/>
    <w:rsid w:val="006214F9"/>
    <w:rsid w:val="00640360"/>
    <w:rsid w:val="00651BFC"/>
    <w:rsid w:val="00664176"/>
    <w:rsid w:val="006666B2"/>
    <w:rsid w:val="006C476D"/>
    <w:rsid w:val="006F7688"/>
    <w:rsid w:val="00716D04"/>
    <w:rsid w:val="0072498F"/>
    <w:rsid w:val="00736F90"/>
    <w:rsid w:val="00747DB4"/>
    <w:rsid w:val="007B6AC8"/>
    <w:rsid w:val="008119F2"/>
    <w:rsid w:val="008142F6"/>
    <w:rsid w:val="0083154F"/>
    <w:rsid w:val="00861651"/>
    <w:rsid w:val="00876952"/>
    <w:rsid w:val="008807A5"/>
    <w:rsid w:val="008B5895"/>
    <w:rsid w:val="008D1DED"/>
    <w:rsid w:val="008E67AF"/>
    <w:rsid w:val="0090761F"/>
    <w:rsid w:val="00913C02"/>
    <w:rsid w:val="009254EA"/>
    <w:rsid w:val="00953E96"/>
    <w:rsid w:val="0097341C"/>
    <w:rsid w:val="00973DD5"/>
    <w:rsid w:val="009B4038"/>
    <w:rsid w:val="00A10B67"/>
    <w:rsid w:val="00A14F62"/>
    <w:rsid w:val="00A810AD"/>
    <w:rsid w:val="00A86377"/>
    <w:rsid w:val="00AA35D5"/>
    <w:rsid w:val="00AC3C6A"/>
    <w:rsid w:val="00AC7229"/>
    <w:rsid w:val="00AD35FD"/>
    <w:rsid w:val="00B11EAB"/>
    <w:rsid w:val="00B34477"/>
    <w:rsid w:val="00B64EF5"/>
    <w:rsid w:val="00B70EC5"/>
    <w:rsid w:val="00C22F7F"/>
    <w:rsid w:val="00C30754"/>
    <w:rsid w:val="00C51A3B"/>
    <w:rsid w:val="00C72CF7"/>
    <w:rsid w:val="00C73F8C"/>
    <w:rsid w:val="00C766F7"/>
    <w:rsid w:val="00CB165C"/>
    <w:rsid w:val="00CC1E4C"/>
    <w:rsid w:val="00CC3CBF"/>
    <w:rsid w:val="00CE4A64"/>
    <w:rsid w:val="00D610D0"/>
    <w:rsid w:val="00D644DD"/>
    <w:rsid w:val="00DB094B"/>
    <w:rsid w:val="00E128D1"/>
    <w:rsid w:val="00E23B9B"/>
    <w:rsid w:val="00E27700"/>
    <w:rsid w:val="00E33A42"/>
    <w:rsid w:val="00E86E37"/>
    <w:rsid w:val="00EA355E"/>
    <w:rsid w:val="00ED3EE4"/>
    <w:rsid w:val="00F06105"/>
    <w:rsid w:val="00F34E1D"/>
    <w:rsid w:val="00FA1764"/>
    <w:rsid w:val="00FD1579"/>
    <w:rsid w:val="00FD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C3F"/>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63DC9"/>
    <w:rPr>
      <w:vertAlign w:val="superscript"/>
    </w:rPr>
  </w:style>
  <w:style w:type="paragraph" w:styleId="Quote">
    <w:name w:val="Quote"/>
    <w:basedOn w:val="Normal"/>
    <w:next w:val="Normal"/>
    <w:link w:val="QuoteChar"/>
    <w:uiPriority w:val="29"/>
    <w:qFormat/>
    <w:rsid w:val="00AA35D5"/>
    <w:pPr>
      <w:spacing w:after="260"/>
      <w:ind w:left="720" w:right="720"/>
      <w:jc w:val="both"/>
    </w:pPr>
    <w:rPr>
      <w:rFonts w:ascii="Century Schoolbook" w:hAnsi="Century Schoolbook"/>
      <w:iCs/>
      <w:color w:val="404040" w:themeColor="text1" w:themeTint="BF"/>
      <w:sz w:val="26"/>
    </w:rPr>
  </w:style>
  <w:style w:type="character" w:customStyle="1" w:styleId="QuoteChar">
    <w:name w:val="Quote Char"/>
    <w:basedOn w:val="DefaultParagraphFont"/>
    <w:link w:val="Quote"/>
    <w:uiPriority w:val="29"/>
    <w:rsid w:val="00AA35D5"/>
    <w:rPr>
      <w:rFonts w:ascii="Century Schoolbook" w:hAnsi="Century Schoolbook" w:cs="Times New Roman"/>
      <w:iCs/>
      <w:color w:val="404040" w:themeColor="text1" w:themeTint="BF"/>
      <w:sz w:val="26"/>
      <w:szCs w:val="24"/>
    </w:rPr>
  </w:style>
  <w:style w:type="paragraph" w:styleId="FootnoteText">
    <w:name w:val="footnote text"/>
    <w:basedOn w:val="Normal"/>
    <w:link w:val="FootnoteTextChar"/>
    <w:uiPriority w:val="99"/>
    <w:rsid w:val="00664176"/>
    <w:rPr>
      <w:rFonts w:ascii="Century Schoolbook" w:hAnsi="Century Schoolbook"/>
      <w:sz w:val="22"/>
      <w:szCs w:val="20"/>
    </w:rPr>
  </w:style>
  <w:style w:type="character" w:customStyle="1" w:styleId="FootnoteTextChar">
    <w:name w:val="Footnote Text Char"/>
    <w:basedOn w:val="DefaultParagraphFont"/>
    <w:link w:val="FootnoteText"/>
    <w:uiPriority w:val="99"/>
    <w:rsid w:val="002D0C3F"/>
    <w:rPr>
      <w:rFonts w:ascii="Century Schoolbook" w:hAnsi="Century Schoolbook" w:cs="Times New Roman"/>
      <w:szCs w:val="20"/>
    </w:rPr>
  </w:style>
  <w:style w:type="paragraph" w:styleId="Header">
    <w:name w:val="header"/>
    <w:basedOn w:val="Normal"/>
    <w:link w:val="HeaderChar"/>
    <w:uiPriority w:val="99"/>
    <w:unhideWhenUsed/>
    <w:rsid w:val="00C766F7"/>
    <w:pPr>
      <w:tabs>
        <w:tab w:val="center" w:pos="4680"/>
        <w:tab w:val="right" w:pos="9360"/>
      </w:tabs>
    </w:pPr>
  </w:style>
  <w:style w:type="character" w:customStyle="1" w:styleId="HeaderChar">
    <w:name w:val="Header Char"/>
    <w:basedOn w:val="DefaultParagraphFont"/>
    <w:link w:val="Header"/>
    <w:uiPriority w:val="99"/>
    <w:rsid w:val="00C766F7"/>
    <w:rPr>
      <w:rFonts w:ascii="Times New Roman" w:hAnsi="Times New Roman" w:cs="Times New Roman"/>
      <w:sz w:val="24"/>
      <w:szCs w:val="24"/>
    </w:rPr>
  </w:style>
  <w:style w:type="paragraph" w:styleId="Footer">
    <w:name w:val="footer"/>
    <w:basedOn w:val="Normal"/>
    <w:link w:val="FooterChar"/>
    <w:uiPriority w:val="99"/>
    <w:unhideWhenUsed/>
    <w:rsid w:val="00C766F7"/>
    <w:pPr>
      <w:tabs>
        <w:tab w:val="center" w:pos="4680"/>
        <w:tab w:val="right" w:pos="9360"/>
      </w:tabs>
    </w:pPr>
  </w:style>
  <w:style w:type="character" w:customStyle="1" w:styleId="FooterChar">
    <w:name w:val="Footer Char"/>
    <w:basedOn w:val="DefaultParagraphFont"/>
    <w:link w:val="Footer"/>
    <w:uiPriority w:val="99"/>
    <w:rsid w:val="00C766F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14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BF8"/>
    <w:rPr>
      <w:rFonts w:ascii="Segoe UI" w:hAnsi="Segoe UI" w:cs="Segoe UI"/>
      <w:sz w:val="18"/>
      <w:szCs w:val="18"/>
    </w:rPr>
  </w:style>
  <w:style w:type="character" w:styleId="LineNumber">
    <w:name w:val="line number"/>
    <w:basedOn w:val="DefaultParagraphFont"/>
    <w:uiPriority w:val="99"/>
    <w:semiHidden/>
    <w:unhideWhenUsed/>
    <w:rsid w:val="00C22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2402</Words>
  <Characters>12637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2013-12-06T20:54:00Z</dcterms:created>
  <dcterms:modified xsi:type="dcterms:W3CDTF">2013-12-09T17:54:00Z</dcterms:modified>
</cp:coreProperties>
</file>