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03E14" w14:textId="29106FB2" w:rsidR="00E57F49" w:rsidRPr="001B45EB" w:rsidRDefault="00E57F49" w:rsidP="004552B2">
      <w:pPr>
        <w:pStyle w:val="CaptionStyle"/>
        <w:jc w:val="center"/>
        <w:rPr>
          <w:rFonts w:ascii="Old English Text MT" w:hAnsi="Old English Text MT"/>
          <w:bCs/>
          <w:sz w:val="48"/>
          <w:szCs w:val="48"/>
        </w:rPr>
      </w:pPr>
      <w:r w:rsidRPr="001B45EB">
        <w:rPr>
          <w:rFonts w:ascii="Old English Text MT" w:hAnsi="Old English Text MT"/>
          <w:bCs/>
          <w:sz w:val="48"/>
          <w:szCs w:val="48"/>
        </w:rPr>
        <w:fldChar w:fldCharType="begin"/>
      </w:r>
      <w:r w:rsidRPr="001B45EB">
        <w:rPr>
          <w:rFonts w:ascii="Old English Text MT" w:hAnsi="Old English Text MT"/>
          <w:bCs/>
          <w:sz w:val="48"/>
          <w:szCs w:val="48"/>
        </w:rPr>
        <w:instrText xml:space="preserve"> SEQ CHAPTER \h \r 1</w:instrText>
      </w:r>
      <w:r w:rsidRPr="001B45EB">
        <w:rPr>
          <w:rFonts w:ascii="Old English Text MT" w:hAnsi="Old English Text MT"/>
          <w:bCs/>
          <w:sz w:val="48"/>
          <w:szCs w:val="48"/>
        </w:rPr>
        <w:fldChar w:fldCharType="end"/>
      </w:r>
      <w:r w:rsidR="003143C4" w:rsidRPr="001B45EB">
        <w:rPr>
          <w:rFonts w:ascii="Old English Text MT" w:hAnsi="Old English Text MT"/>
          <w:bCs/>
          <w:sz w:val="48"/>
          <w:szCs w:val="48"/>
        </w:rPr>
        <w:t xml:space="preserve">United States Court </w:t>
      </w:r>
      <w:r w:rsidR="00035EAC" w:rsidRPr="001B45EB">
        <w:rPr>
          <w:rFonts w:ascii="Old English Text MT" w:hAnsi="Old English Text MT"/>
          <w:bCs/>
          <w:sz w:val="48"/>
          <w:szCs w:val="48"/>
        </w:rPr>
        <w:t>of</w:t>
      </w:r>
      <w:r w:rsidR="003143C4" w:rsidRPr="001B45EB">
        <w:rPr>
          <w:rFonts w:ascii="Old English Text MT" w:hAnsi="Old English Text MT"/>
          <w:bCs/>
          <w:sz w:val="48"/>
          <w:szCs w:val="48"/>
        </w:rPr>
        <w:t xml:space="preserve"> Appeals</w:t>
      </w:r>
    </w:p>
    <w:p w14:paraId="246A68E3" w14:textId="7699D7ED" w:rsidR="00E57F49" w:rsidRPr="001B45EB" w:rsidRDefault="00325581" w:rsidP="000805C1">
      <w:pPr>
        <w:pStyle w:val="CaptionStyle"/>
        <w:jc w:val="center"/>
        <w:rPr>
          <w:rFonts w:ascii="Old English Text MT" w:hAnsi="Old English Text MT"/>
          <w:bCs/>
          <w:sz w:val="48"/>
          <w:szCs w:val="48"/>
        </w:rPr>
      </w:pPr>
      <w:r>
        <w:rPr>
          <w:rFonts w:ascii="Old English Text MT" w:hAnsi="Old English Text MT"/>
          <w:bCs/>
          <w:noProof/>
          <w:sz w:val="48"/>
          <w:szCs w:val="48"/>
        </w:rPr>
        <mc:AlternateContent>
          <mc:Choice Requires="wps">
            <w:drawing>
              <wp:anchor distT="0" distB="0" distL="114300" distR="114300" simplePos="0" relativeHeight="251667456" behindDoc="0" locked="0" layoutInCell="1" allowOverlap="1" wp14:anchorId="7CB1D154" wp14:editId="7FF899B2">
                <wp:simplePos x="0" y="0"/>
                <wp:positionH relativeFrom="column">
                  <wp:posOffset>3693355</wp:posOffset>
                </wp:positionH>
                <wp:positionV relativeFrom="paragraph">
                  <wp:posOffset>105654</wp:posOffset>
                </wp:positionV>
                <wp:extent cx="2540000" cy="12700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540000" cy="127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066A2" w14:textId="77777777" w:rsidR="00325581" w:rsidRPr="00325581" w:rsidRDefault="00325581" w:rsidP="00325581">
                            <w:pPr>
                              <w:spacing w:after="0" w:line="240" w:lineRule="auto"/>
                              <w:jc w:val="center"/>
                              <w:rPr>
                                <w:rFonts w:ascii="Arial" w:hAnsi="Arial" w:cs="Arial"/>
                                <w:sz w:val="14"/>
                              </w:rPr>
                            </w:pPr>
                            <w:r w:rsidRPr="00325581">
                              <w:rPr>
                                <w:rFonts w:ascii="Arial" w:hAnsi="Arial" w:cs="Arial"/>
                                <w:sz w:val="14"/>
                              </w:rPr>
                              <w:t>United States Court of Appeals</w:t>
                            </w:r>
                          </w:p>
                          <w:p w14:paraId="455DF508" w14:textId="77777777" w:rsidR="00325581" w:rsidRPr="00325581" w:rsidRDefault="00325581" w:rsidP="00325581">
                            <w:pPr>
                              <w:spacing w:after="0" w:line="240" w:lineRule="auto"/>
                              <w:jc w:val="center"/>
                              <w:rPr>
                                <w:rFonts w:ascii="Arial" w:hAnsi="Arial" w:cs="Arial"/>
                                <w:sz w:val="14"/>
                              </w:rPr>
                            </w:pPr>
                            <w:r w:rsidRPr="00325581">
                              <w:rPr>
                                <w:rFonts w:ascii="Arial" w:hAnsi="Arial" w:cs="Arial"/>
                                <w:sz w:val="14"/>
                              </w:rPr>
                              <w:t>Fifth Circuit</w:t>
                            </w:r>
                          </w:p>
                          <w:p w14:paraId="24DD481F" w14:textId="77777777" w:rsidR="00325581" w:rsidRPr="00325581" w:rsidRDefault="00325581" w:rsidP="00325581">
                            <w:pPr>
                              <w:spacing w:after="0" w:line="240" w:lineRule="auto"/>
                              <w:jc w:val="center"/>
                              <w:rPr>
                                <w:rFonts w:ascii="Arial" w:hAnsi="Arial" w:cs="Arial"/>
                                <w:b/>
                                <w:sz w:val="32"/>
                              </w:rPr>
                            </w:pPr>
                            <w:r w:rsidRPr="00325581">
                              <w:rPr>
                                <w:rFonts w:ascii="Arial" w:hAnsi="Arial" w:cs="Arial"/>
                                <w:b/>
                                <w:sz w:val="32"/>
                              </w:rPr>
                              <w:t>FILED</w:t>
                            </w:r>
                          </w:p>
                          <w:p w14:paraId="0D966B60" w14:textId="77777777" w:rsidR="00325581" w:rsidRPr="00325581" w:rsidRDefault="00325581" w:rsidP="00325581">
                            <w:pPr>
                              <w:spacing w:after="0" w:line="240" w:lineRule="auto"/>
                              <w:jc w:val="center"/>
                              <w:rPr>
                                <w:rFonts w:ascii="Arial" w:hAnsi="Arial" w:cs="Arial"/>
                                <w:sz w:val="24"/>
                              </w:rPr>
                            </w:pPr>
                            <w:r w:rsidRPr="00325581">
                              <w:rPr>
                                <w:rFonts w:ascii="Arial" w:hAnsi="Arial" w:cs="Arial"/>
                                <w:sz w:val="24"/>
                              </w:rPr>
                              <w:t>November 19, 2021</w:t>
                            </w:r>
                          </w:p>
                          <w:p w14:paraId="07C6DE6E" w14:textId="77777777" w:rsidR="00325581" w:rsidRPr="00325581" w:rsidRDefault="00325581" w:rsidP="00325581">
                            <w:pPr>
                              <w:spacing w:after="0" w:line="240" w:lineRule="auto"/>
                              <w:jc w:val="center"/>
                              <w:rPr>
                                <w:rFonts w:ascii="Arial" w:hAnsi="Arial" w:cs="Arial"/>
                                <w:sz w:val="14"/>
                              </w:rPr>
                            </w:pPr>
                          </w:p>
                          <w:p w14:paraId="584060EB" w14:textId="77777777" w:rsidR="00325581" w:rsidRPr="00325581" w:rsidRDefault="00325581" w:rsidP="00325581">
                            <w:pPr>
                              <w:spacing w:after="0" w:line="240" w:lineRule="auto"/>
                              <w:jc w:val="center"/>
                              <w:rPr>
                                <w:rFonts w:ascii="Arial" w:hAnsi="Arial" w:cs="Arial"/>
                                <w:sz w:val="24"/>
                              </w:rPr>
                            </w:pPr>
                            <w:r w:rsidRPr="00325581">
                              <w:rPr>
                                <w:rFonts w:ascii="Arial" w:hAnsi="Arial" w:cs="Arial"/>
                                <w:sz w:val="24"/>
                              </w:rPr>
                              <w:t>Lyle W. Cayce</w:t>
                            </w:r>
                          </w:p>
                          <w:p w14:paraId="3B83E2F6" w14:textId="38D30897" w:rsidR="00325581" w:rsidRPr="00325581" w:rsidRDefault="00325581" w:rsidP="00325581">
                            <w:pPr>
                              <w:spacing w:after="0" w:line="240" w:lineRule="auto"/>
                              <w:jc w:val="center"/>
                              <w:rPr>
                                <w:rFonts w:ascii="Arial" w:hAnsi="Arial" w:cs="Arial"/>
                                <w:sz w:val="24"/>
                              </w:rPr>
                            </w:pPr>
                            <w:r w:rsidRPr="00325581">
                              <w:rPr>
                                <w:rFonts w:ascii="Arial" w:hAnsi="Arial" w:cs="Arial"/>
                                <w:sz w:val="24"/>
                              </w:rPr>
                              <w:t>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B1D154" id="_x0000_t202" coordsize="21600,21600" o:spt="202" path="m,l,21600r21600,l21600,xe">
                <v:stroke joinstyle="miter"/>
                <v:path gradientshapeok="t" o:connecttype="rect"/>
              </v:shapetype>
              <v:shape id="Text Box 9" o:spid="_x0000_s1026" type="#_x0000_t202" style="position:absolute;left:0;text-align:left;margin-left:290.8pt;margin-top:8.3pt;width:200pt;height:10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" filled="f" stroked="f" strokeweight=".5pt">
                <v:fill o:detectmouseclick="t"/>
                <v:textbox>
                  <w:txbxContent>
                    <w:p w14:paraId="02C066A2" w14:textId="77777777" w:rsidR="00325581" w:rsidRPr="00325581" w:rsidRDefault="00325581" w:rsidP="00325581">
                      <w:pPr>
                        <w:spacing w:after="0" w:line="240" w:lineRule="auto"/>
                        <w:jc w:val="center"/>
                        <w:rPr>
                          <w:rFonts w:ascii="Arial" w:hAnsi="Arial" w:cs="Arial"/>
                          <w:sz w:val="14"/>
                        </w:rPr>
                      </w:pPr>
                      <w:r w:rsidRPr="00325581">
                        <w:rPr>
                          <w:rFonts w:ascii="Arial" w:hAnsi="Arial" w:cs="Arial"/>
                          <w:sz w:val="14"/>
                        </w:rPr>
                        <w:t>United States Court of Appeals</w:t>
                      </w:r>
                    </w:p>
                    <w:p w14:paraId="455DF508" w14:textId="77777777" w:rsidR="00325581" w:rsidRPr="00325581" w:rsidRDefault="00325581" w:rsidP="00325581">
                      <w:pPr>
                        <w:spacing w:after="0" w:line="240" w:lineRule="auto"/>
                        <w:jc w:val="center"/>
                        <w:rPr>
                          <w:rFonts w:ascii="Arial" w:hAnsi="Arial" w:cs="Arial"/>
                          <w:sz w:val="14"/>
                        </w:rPr>
                      </w:pPr>
                      <w:r w:rsidRPr="00325581">
                        <w:rPr>
                          <w:rFonts w:ascii="Arial" w:hAnsi="Arial" w:cs="Arial"/>
                          <w:sz w:val="14"/>
                        </w:rPr>
                        <w:t>Fifth Circuit</w:t>
                      </w:r>
                    </w:p>
                    <w:p w14:paraId="24DD481F" w14:textId="77777777" w:rsidR="00325581" w:rsidRPr="00325581" w:rsidRDefault="00325581" w:rsidP="00325581">
                      <w:pPr>
                        <w:spacing w:after="0" w:line="240" w:lineRule="auto"/>
                        <w:jc w:val="center"/>
                        <w:rPr>
                          <w:rFonts w:ascii="Arial" w:hAnsi="Arial" w:cs="Arial"/>
                          <w:b/>
                          <w:sz w:val="32"/>
                        </w:rPr>
                      </w:pPr>
                      <w:r w:rsidRPr="00325581">
                        <w:rPr>
                          <w:rFonts w:ascii="Arial" w:hAnsi="Arial" w:cs="Arial"/>
                          <w:b/>
                          <w:sz w:val="32"/>
                        </w:rPr>
                        <w:t>FILED</w:t>
                      </w:r>
                    </w:p>
                    <w:p w14:paraId="0D966B60" w14:textId="77777777" w:rsidR="00325581" w:rsidRPr="00325581" w:rsidRDefault="00325581" w:rsidP="00325581">
                      <w:pPr>
                        <w:spacing w:after="0" w:line="240" w:lineRule="auto"/>
                        <w:jc w:val="center"/>
                        <w:rPr>
                          <w:rFonts w:ascii="Arial" w:hAnsi="Arial" w:cs="Arial"/>
                          <w:sz w:val="24"/>
                        </w:rPr>
                      </w:pPr>
                      <w:r w:rsidRPr="00325581">
                        <w:rPr>
                          <w:rFonts w:ascii="Arial" w:hAnsi="Arial" w:cs="Arial"/>
                          <w:sz w:val="24"/>
                        </w:rPr>
                        <w:t>November 19, 2021</w:t>
                      </w:r>
                    </w:p>
                    <w:p w14:paraId="07C6DE6E" w14:textId="77777777" w:rsidR="00325581" w:rsidRPr="00325581" w:rsidRDefault="00325581" w:rsidP="00325581">
                      <w:pPr>
                        <w:spacing w:after="0" w:line="240" w:lineRule="auto"/>
                        <w:jc w:val="center"/>
                        <w:rPr>
                          <w:rFonts w:ascii="Arial" w:hAnsi="Arial" w:cs="Arial"/>
                          <w:sz w:val="14"/>
                        </w:rPr>
                      </w:pPr>
                    </w:p>
                    <w:p w14:paraId="584060EB" w14:textId="77777777" w:rsidR="00325581" w:rsidRPr="00325581" w:rsidRDefault="00325581" w:rsidP="00325581">
                      <w:pPr>
                        <w:spacing w:after="0" w:line="240" w:lineRule="auto"/>
                        <w:jc w:val="center"/>
                        <w:rPr>
                          <w:rFonts w:ascii="Arial" w:hAnsi="Arial" w:cs="Arial"/>
                          <w:sz w:val="24"/>
                        </w:rPr>
                      </w:pPr>
                      <w:r w:rsidRPr="00325581">
                        <w:rPr>
                          <w:rFonts w:ascii="Arial" w:hAnsi="Arial" w:cs="Arial"/>
                          <w:sz w:val="24"/>
                        </w:rPr>
                        <w:t>Lyle W. Cayce</w:t>
                      </w:r>
                    </w:p>
                    <w:p w14:paraId="3B83E2F6" w14:textId="38D30897" w:rsidR="00325581" w:rsidRPr="00325581" w:rsidRDefault="00325581" w:rsidP="00325581">
                      <w:pPr>
                        <w:spacing w:after="0" w:line="240" w:lineRule="auto"/>
                        <w:jc w:val="center"/>
                        <w:rPr>
                          <w:rFonts w:ascii="Arial" w:hAnsi="Arial" w:cs="Arial"/>
                          <w:sz w:val="24"/>
                        </w:rPr>
                      </w:pPr>
                      <w:r w:rsidRPr="00325581">
                        <w:rPr>
                          <w:rFonts w:ascii="Arial" w:hAnsi="Arial" w:cs="Arial"/>
                          <w:sz w:val="24"/>
                        </w:rPr>
                        <w:t>Clerk</w:t>
                      </w:r>
                    </w:p>
                  </w:txbxContent>
                </v:textbox>
              </v:shape>
            </w:pict>
          </mc:Fallback>
        </mc:AlternateContent>
      </w:r>
      <w:r w:rsidR="001B45EB" w:rsidRPr="001B45EB">
        <w:rPr>
          <w:rFonts w:ascii="Old English Text MT" w:hAnsi="Old English Text MT"/>
          <w:bCs/>
          <w:sz w:val="48"/>
          <w:szCs w:val="48"/>
        </w:rPr>
        <w:t>f</w:t>
      </w:r>
      <w:r w:rsidR="003143C4" w:rsidRPr="001B45EB">
        <w:rPr>
          <w:rFonts w:ascii="Old English Text MT" w:hAnsi="Old English Text MT"/>
          <w:bCs/>
          <w:sz w:val="48"/>
          <w:szCs w:val="48"/>
        </w:rPr>
        <w:t>or the Fifth Circuit</w:t>
      </w:r>
    </w:p>
    <w:p w14:paraId="21467F91" w14:textId="25B1FD09" w:rsidR="00E57F49" w:rsidRPr="00443FDC" w:rsidRDefault="00E57F49" w:rsidP="000805C1">
      <w:pPr>
        <w:pStyle w:val="CaptionStyle"/>
        <w:jc w:val="center"/>
      </w:pPr>
    </w:p>
    <w:p w14:paraId="2898B2DF" w14:textId="22C083F9" w:rsidR="00574C81" w:rsidRDefault="002C1200" w:rsidP="000805C1">
      <w:pPr>
        <w:pStyle w:val="CaptionStyle"/>
        <w:jc w:val="center"/>
      </w:pPr>
      <w:r w:rsidRPr="00443FDC">
        <w:rPr>
          <w:noProof/>
        </w:rPr>
        <mc:AlternateContent>
          <mc:Choice Requires="wps">
            <w:drawing>
              <wp:anchor distT="0" distB="0" distL="114300" distR="114300" simplePos="0" relativeHeight="251660288" behindDoc="0" locked="0" layoutInCell="0" allowOverlap="1" wp14:anchorId="3CA4CDB7" wp14:editId="1974B07D">
                <wp:simplePos x="0" y="0"/>
                <wp:positionH relativeFrom="margin">
                  <wp:align>center</wp:align>
                </wp:positionH>
                <wp:positionV relativeFrom="paragraph">
                  <wp:posOffset>6985</wp:posOffset>
                </wp:positionV>
                <wp:extent cx="1143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EC4B" id="Straight Connector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9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" o:allowincell="f" strokecolor="#020000" strokeweight=".96pt">
                <w10:wrap anchorx="margin"/>
              </v:line>
            </w:pict>
          </mc:Fallback>
        </mc:AlternateContent>
      </w:r>
      <w:r w:rsidR="00E57F49" w:rsidRPr="00443FDC">
        <w:rPr>
          <w:noProof/>
        </w:rPr>
        <mc:AlternateContent>
          <mc:Choice Requires="wps">
            <w:drawing>
              <wp:anchor distT="0" distB="0" distL="114300" distR="114300" simplePos="0" relativeHeight="251659264" behindDoc="0" locked="0" layoutInCell="0" allowOverlap="1" wp14:anchorId="2CA35812" wp14:editId="117667E9">
                <wp:simplePos x="0" y="0"/>
                <wp:positionH relativeFrom="margin">
                  <wp:posOffset>0</wp:posOffset>
                </wp:positionH>
                <wp:positionV relativeFrom="paragraph">
                  <wp:posOffset>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18F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RYJH3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p>
    <w:p w14:paraId="0512DCA6" w14:textId="77777777" w:rsidR="0070072F" w:rsidRDefault="00E6584D" w:rsidP="00B85981">
      <w:pPr>
        <w:pStyle w:val="CaptionStyle"/>
        <w:jc w:val="center"/>
      </w:pPr>
      <w:r>
        <w:t>No. 21-10220</w:t>
      </w:r>
    </w:p>
    <w:p w14:paraId="3FA7724B" w14:textId="77777777" w:rsidR="009E492B" w:rsidRPr="009E492B" w:rsidRDefault="009E492B" w:rsidP="000805C1">
      <w:pPr>
        <w:pStyle w:val="CaptionStyle"/>
        <w:jc w:val="center"/>
      </w:pPr>
    </w:p>
    <w:p w14:paraId="15D8849C" w14:textId="77777777" w:rsidR="00E57F49" w:rsidRPr="00443FDC" w:rsidRDefault="002C1200" w:rsidP="000805C1">
      <w:pPr>
        <w:pStyle w:val="CaptionStyle"/>
        <w:jc w:val="center"/>
      </w:pPr>
      <w:r w:rsidRPr="00443FDC">
        <w:rPr>
          <w:noProof/>
        </w:rPr>
        <mc:AlternateContent>
          <mc:Choice Requires="wps">
            <w:drawing>
              <wp:anchor distT="0" distB="0" distL="114300" distR="114300" simplePos="0" relativeHeight="251662336" behindDoc="0" locked="0" layoutInCell="0" allowOverlap="1" wp14:anchorId="067D000F" wp14:editId="0477EB96">
                <wp:simplePos x="0" y="0"/>
                <wp:positionH relativeFrom="margin">
                  <wp:align>center</wp:align>
                </wp:positionH>
                <wp:positionV relativeFrom="paragraph">
                  <wp:posOffset>4445</wp:posOffset>
                </wp:positionV>
                <wp:extent cx="1143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4735"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pt" to="9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" o:allowincell="f" strokecolor="#020000" strokeweight=".96pt">
                <w10:wrap anchorx="margin"/>
              </v:line>
            </w:pict>
          </mc:Fallback>
        </mc:AlternateContent>
      </w:r>
      <w:r w:rsidR="00E57F49" w:rsidRPr="00443FDC">
        <w:rPr>
          <w:noProof/>
        </w:rPr>
        <mc:AlternateContent>
          <mc:Choice Requires="wps">
            <w:drawing>
              <wp:anchor distT="0" distB="0" distL="114300" distR="114300" simplePos="0" relativeHeight="251661312" behindDoc="0" locked="0" layoutInCell="0" allowOverlap="1" wp14:anchorId="07958C72" wp14:editId="0F39B8AD">
                <wp:simplePos x="0" y="0"/>
                <wp:positionH relativeFrom="margin">
                  <wp:posOffset>0</wp:posOffset>
                </wp:positionH>
                <wp:positionV relativeFrom="paragraph">
                  <wp:posOffset>0</wp:posOffset>
                </wp:positionV>
                <wp:extent cx="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B89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7zOa3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p>
    <w:p w14:paraId="2E641496" w14:textId="77777777" w:rsidR="00E6584D" w:rsidRDefault="00E6584D" w:rsidP="000805C1">
      <w:pPr>
        <w:pStyle w:val="CaptionStyle"/>
        <w:rPr>
          <w:rFonts w:ascii="Equity Caps A" w:hAnsi="Equity Caps A"/>
        </w:rPr>
      </w:pPr>
      <w:bookmarkStart w:id="0" w:name="3"/>
      <w:bookmarkEnd w:id="0"/>
      <w:r>
        <w:rPr>
          <w:rFonts w:ascii="Equity Caps A" w:hAnsi="Equity Caps A"/>
        </w:rPr>
        <w:t xml:space="preserve">Andrea Cody; Brittany Burk; Dana Whitfield, individually and on behalf of all others similarly situated, </w:t>
      </w:r>
    </w:p>
    <w:p w14:paraId="50769602" w14:textId="77777777" w:rsidR="00E6584D" w:rsidRDefault="00E6584D" w:rsidP="000805C1">
      <w:pPr>
        <w:pStyle w:val="CaptionStyle"/>
        <w:rPr>
          <w:rFonts w:ascii="Equity Caps A" w:hAnsi="Equity Caps A"/>
        </w:rPr>
      </w:pPr>
    </w:p>
    <w:p w14:paraId="7065AA8F" w14:textId="77777777" w:rsidR="00E6584D" w:rsidRDefault="00E6584D" w:rsidP="00E6584D">
      <w:pPr>
        <w:pStyle w:val="CaptionStyle"/>
        <w:jc w:val="right"/>
        <w:rPr>
          <w:rFonts w:ascii="Equity Caps A" w:hAnsi="Equity Caps A"/>
        </w:rPr>
      </w:pPr>
      <w:r w:rsidRPr="00E6584D">
        <w:rPr>
          <w:i/>
        </w:rPr>
        <w:t>Plaintiffs—Appellants</w:t>
      </w:r>
      <w:r>
        <w:rPr>
          <w:rFonts w:ascii="Equity Caps A" w:hAnsi="Equity Caps A"/>
        </w:rPr>
        <w:t>,</w:t>
      </w:r>
    </w:p>
    <w:p w14:paraId="074D1601" w14:textId="77777777" w:rsidR="00E6584D" w:rsidRDefault="00E6584D" w:rsidP="000805C1">
      <w:pPr>
        <w:pStyle w:val="CaptionStyle"/>
        <w:rPr>
          <w:rFonts w:ascii="Equity Caps A" w:hAnsi="Equity Caps A"/>
        </w:rPr>
      </w:pPr>
    </w:p>
    <w:p w14:paraId="3351E720" w14:textId="77777777" w:rsidR="00E6584D" w:rsidRPr="00E6584D" w:rsidRDefault="00E6584D" w:rsidP="00E6584D">
      <w:pPr>
        <w:pStyle w:val="CaptionStyle"/>
        <w:jc w:val="center"/>
      </w:pPr>
      <w:r w:rsidRPr="00E6584D">
        <w:rPr>
          <w:i/>
        </w:rPr>
        <w:t>versus</w:t>
      </w:r>
    </w:p>
    <w:p w14:paraId="681C8A65" w14:textId="77777777" w:rsidR="00E6584D" w:rsidRDefault="00E6584D" w:rsidP="000805C1">
      <w:pPr>
        <w:pStyle w:val="CaptionStyle"/>
        <w:rPr>
          <w:rFonts w:ascii="Equity Caps A" w:hAnsi="Equity Caps A"/>
        </w:rPr>
      </w:pPr>
    </w:p>
    <w:p w14:paraId="29F62161" w14:textId="77777777" w:rsidR="00E6584D" w:rsidRDefault="00E6584D" w:rsidP="000805C1">
      <w:pPr>
        <w:pStyle w:val="CaptionStyle"/>
        <w:rPr>
          <w:rFonts w:ascii="Equity Caps A" w:hAnsi="Equity Caps A"/>
        </w:rPr>
      </w:pPr>
      <w:r>
        <w:rPr>
          <w:rFonts w:ascii="Equity Caps A" w:hAnsi="Equity Caps A"/>
        </w:rPr>
        <w:t xml:space="preserve">Allstate Fire and Casualty Insurance Company, </w:t>
      </w:r>
    </w:p>
    <w:p w14:paraId="626B5429" w14:textId="77777777" w:rsidR="00E6584D" w:rsidRDefault="00E6584D" w:rsidP="000805C1">
      <w:pPr>
        <w:pStyle w:val="CaptionStyle"/>
        <w:rPr>
          <w:rFonts w:ascii="Equity Caps A" w:hAnsi="Equity Caps A"/>
        </w:rPr>
      </w:pPr>
    </w:p>
    <w:p w14:paraId="4A88A580" w14:textId="77777777" w:rsidR="00E6584D" w:rsidRDefault="00E6584D" w:rsidP="00E6584D">
      <w:pPr>
        <w:pStyle w:val="CaptionStyle"/>
        <w:jc w:val="right"/>
        <w:rPr>
          <w:rFonts w:ascii="Equity Caps A" w:hAnsi="Equity Caps A"/>
        </w:rPr>
      </w:pPr>
      <w:r w:rsidRPr="00E6584D">
        <w:rPr>
          <w:i/>
        </w:rPr>
        <w:t>Defendant—Appellee</w:t>
      </w:r>
      <w:r>
        <w:rPr>
          <w:rFonts w:ascii="Equity Caps A" w:hAnsi="Equity Caps A"/>
        </w:rPr>
        <w:t>.</w:t>
      </w:r>
    </w:p>
    <w:p w14:paraId="7741FBF5" w14:textId="77777777" w:rsidR="00E57F49" w:rsidRPr="00440B98" w:rsidRDefault="00E57F49" w:rsidP="000805C1">
      <w:pPr>
        <w:pStyle w:val="CaptionStyle"/>
        <w:rPr>
          <w:rFonts w:ascii="Equity Caps A" w:hAnsi="Equity Caps A"/>
        </w:rPr>
      </w:pPr>
    </w:p>
    <w:p w14:paraId="396BEBC0" w14:textId="77777777" w:rsidR="00E57F49" w:rsidRPr="00443FDC" w:rsidRDefault="002C1200" w:rsidP="000805C1">
      <w:pPr>
        <w:pStyle w:val="CaptionStyle"/>
      </w:pPr>
      <w:r w:rsidRPr="00443FDC">
        <w:rPr>
          <w:noProof/>
        </w:rPr>
        <mc:AlternateContent>
          <mc:Choice Requires="wps">
            <w:drawing>
              <wp:anchor distT="0" distB="0" distL="114300" distR="114300" simplePos="0" relativeHeight="251664384" behindDoc="0" locked="0" layoutInCell="0" allowOverlap="1" wp14:anchorId="346E6E5C" wp14:editId="0B8C8B07">
                <wp:simplePos x="0" y="0"/>
                <wp:positionH relativeFrom="margin">
                  <wp:align>center</wp:align>
                </wp:positionH>
                <wp:positionV relativeFrom="paragraph">
                  <wp:posOffset>14605</wp:posOffset>
                </wp:positionV>
                <wp:extent cx="2971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63B59" id="Straight Connector 3"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pt" to="2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" o:allowincell="f" strokecolor="#020000" strokeweight=".96pt">
                <w10:wrap anchorx="margin"/>
              </v:line>
            </w:pict>
          </mc:Fallback>
        </mc:AlternateContent>
      </w:r>
      <w:r w:rsidR="00E57F49" w:rsidRPr="00443FDC">
        <w:rPr>
          <w:noProof/>
        </w:rPr>
        <mc:AlternateContent>
          <mc:Choice Requires="wps">
            <w:drawing>
              <wp:anchor distT="0" distB="0" distL="114300" distR="114300" simplePos="0" relativeHeight="251663360" behindDoc="0" locked="0" layoutInCell="0" allowOverlap="1" wp14:anchorId="29BE4996" wp14:editId="0419C242">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843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BbJcAz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p>
    <w:p w14:paraId="7C40076D" w14:textId="77777777" w:rsidR="00E57F49" w:rsidRDefault="00E57F49" w:rsidP="00B85981">
      <w:pPr>
        <w:pStyle w:val="CaptionStyle"/>
        <w:jc w:val="center"/>
      </w:pPr>
      <w:r w:rsidRPr="00443FDC">
        <w:t xml:space="preserve">Appeal from the United States </w:t>
      </w:r>
      <w:bookmarkStart w:id="1" w:name="7"/>
      <w:bookmarkEnd w:id="1"/>
      <w:sdt>
        <w:sdtPr>
          <w:rPr>
            <w:rStyle w:val="CaptionStyleChar"/>
          </w:rPr>
          <w:alias w:val="Court Appealed From and Lower-Court Case Number"/>
          <w:tag w:val="Court Appealed From and Lower-Court Case Number"/>
          <w:id w:val="2030213214"/>
          <w:placeholder>
            <w:docPart w:val="CC56F30B98574979ABB380F478AA83F1"/>
          </w:placeholder>
          <w:text w:multiLine="1"/>
        </w:sdtPr>
        <w:sdtEndPr>
          <w:rPr>
            <w:rStyle w:val="DefaultParagraphFont"/>
          </w:rPr>
        </w:sdtEndPr>
        <w:sdtContent>
          <w:r w:rsidR="002C5532">
            <w:rPr>
              <w:rStyle w:val="CaptionStyleChar"/>
            </w:rPr>
            <w:t xml:space="preserve">District Court </w:t>
          </w:r>
          <w:r w:rsidR="002C5532">
            <w:rPr>
              <w:rStyle w:val="CaptionStyleChar"/>
            </w:rPr>
            <w:br/>
            <w:t>for the Northern District of Texas</w:t>
          </w:r>
        </w:sdtContent>
      </w:sdt>
    </w:p>
    <w:p w14:paraId="3F69E944" w14:textId="5B0AE478" w:rsidR="002C5532" w:rsidRPr="00443FDC" w:rsidRDefault="002C5532" w:rsidP="00B85981">
      <w:pPr>
        <w:pStyle w:val="CaptionStyle"/>
        <w:jc w:val="center"/>
      </w:pPr>
      <w:r w:rsidRPr="002C5532">
        <w:t>No. 3:19-CV-1935</w:t>
      </w:r>
    </w:p>
    <w:p w14:paraId="5D26BB87" w14:textId="77777777" w:rsidR="00E57F49" w:rsidRPr="00443FDC" w:rsidRDefault="002C1200" w:rsidP="000805C1">
      <w:pPr>
        <w:pStyle w:val="CaptionStyle"/>
      </w:pPr>
      <w:r w:rsidRPr="00443FDC">
        <w:rPr>
          <w:noProof/>
        </w:rPr>
        <mc:AlternateContent>
          <mc:Choice Requires="wps">
            <w:drawing>
              <wp:anchor distT="0" distB="0" distL="114300" distR="114300" simplePos="0" relativeHeight="251666432" behindDoc="0" locked="0" layoutInCell="0" allowOverlap="1" wp14:anchorId="6B3E0B61" wp14:editId="46478B4A">
                <wp:simplePos x="0" y="0"/>
                <wp:positionH relativeFrom="margin">
                  <wp:align>center</wp:align>
                </wp:positionH>
                <wp:positionV relativeFrom="paragraph">
                  <wp:posOffset>198120</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1302" id="Straight Connector 1"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6pt" to="23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" o:allowincell="f" strokecolor="#020000" strokeweight=".96pt">
                <w10:wrap anchorx="margin"/>
              </v:line>
            </w:pict>
          </mc:Fallback>
        </mc:AlternateContent>
      </w:r>
    </w:p>
    <w:p w14:paraId="31F5247A" w14:textId="77777777" w:rsidR="00E57F49" w:rsidRPr="00443FDC" w:rsidRDefault="00E57F49" w:rsidP="000805C1">
      <w:pPr>
        <w:pStyle w:val="CaptionStyle"/>
      </w:pPr>
      <w:r w:rsidRPr="00443FDC">
        <w:rPr>
          <w:noProof/>
        </w:rPr>
        <mc:AlternateContent>
          <mc:Choice Requires="wps">
            <w:drawing>
              <wp:anchor distT="0" distB="0" distL="114300" distR="114300" simplePos="0" relativeHeight="251665408" behindDoc="0" locked="0" layoutInCell="0" allowOverlap="1" wp14:anchorId="41B763E2" wp14:editId="337FB250">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E2E8"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B2jTTAQAAlgMAAA4AAAAA&#10;AAAAAAAAAAAALgIAAGRycy9lMm9Eb2MueG1sUEsBAi0AFAAGAAgAAAAhACEexkTVAAAA/wAAAA8A&#10;AAAAAAAAAAAAAAAALQQAAGRycy9kb3ducmV2LnhtbFBLBQYAAAAABAAEAPMAAAAvBQAAAAA=&#10;" o:allowincell="f" strokecolor="#020000" strokeweight=".96pt">
                <w10:wrap anchorx="margin"/>
              </v:line>
            </w:pict>
          </mc:Fallback>
        </mc:AlternateContent>
      </w:r>
    </w:p>
    <w:p w14:paraId="24852E85" w14:textId="41925A37" w:rsidR="00E57F49" w:rsidRPr="00804650" w:rsidRDefault="00E57F49" w:rsidP="00584EF0">
      <w:pPr>
        <w:spacing w:line="240" w:lineRule="auto"/>
        <w:ind w:firstLine="0"/>
      </w:pPr>
      <w:r w:rsidRPr="00804650">
        <w:t>Before</w:t>
      </w:r>
      <w:r w:rsidR="004F7A67">
        <w:t xml:space="preserve"> </w:t>
      </w:r>
      <w:sdt>
        <w:sdtPr>
          <w:rPr>
            <w:rStyle w:val="Style3"/>
            <w:rFonts w:ascii="Equity Caps A" w:hAnsi="Equity Caps A"/>
          </w:rPr>
          <w:alias w:val="Panel Judges"/>
          <w:tag w:val="Panel Judges"/>
          <w:id w:val="577632714"/>
          <w:lock w:val="sdtLocked"/>
          <w:placeholder>
            <w:docPart w:val="54136579EAA8444C915DE80A2E3B7511"/>
          </w:placeholder>
        </w:sdtPr>
        <w:sdtEndPr>
          <w:rPr>
            <w:rStyle w:val="DefaultParagraphFont"/>
          </w:rPr>
        </w:sdtEndPr>
        <w:sdtContent>
          <w:r w:rsidR="00E6584D">
            <w:rPr>
              <w:rStyle w:val="Style3"/>
              <w:rFonts w:ascii="Equity Caps A" w:hAnsi="Equity Caps A"/>
            </w:rPr>
            <w:t>Higginbotham, Smith,</w:t>
          </w:r>
          <w:r w:rsidR="00E6584D" w:rsidRPr="00E6584D">
            <w:rPr>
              <w:rStyle w:val="Style3"/>
            </w:rPr>
            <w:t xml:space="preserve"> and</w:t>
          </w:r>
          <w:r w:rsidR="00E6584D">
            <w:rPr>
              <w:rStyle w:val="Style3"/>
              <w:rFonts w:ascii="Equity Caps A" w:hAnsi="Equity Caps A"/>
            </w:rPr>
            <w:t xml:space="preserve"> Ho</w:t>
          </w:r>
        </w:sdtContent>
      </w:sdt>
      <w:r w:rsidR="00E6584D">
        <w:rPr>
          <w:rFonts w:ascii="Equity Caps A" w:hAnsi="Equity Caps A"/>
        </w:rPr>
        <w:t xml:space="preserve">, </w:t>
      </w:r>
      <w:r w:rsidR="00E6584D">
        <w:rPr>
          <w:i/>
          <w:iCs/>
        </w:rPr>
        <w:t>C</w:t>
      </w:r>
      <w:r w:rsidR="00E6584D" w:rsidRPr="00E6584D">
        <w:rPr>
          <w:i/>
          <w:iCs/>
        </w:rPr>
        <w:t xml:space="preserve">ircuit </w:t>
      </w:r>
      <w:r w:rsidR="00E6584D">
        <w:rPr>
          <w:i/>
          <w:iCs/>
        </w:rPr>
        <w:t>J</w:t>
      </w:r>
      <w:r w:rsidR="00E6584D" w:rsidRPr="00E6584D">
        <w:rPr>
          <w:i/>
          <w:iCs/>
        </w:rPr>
        <w:t>udges</w:t>
      </w:r>
      <w:r w:rsidR="0069008E">
        <w:rPr>
          <w:i/>
          <w:iCs/>
        </w:rPr>
        <w:t>.</w:t>
      </w:r>
    </w:p>
    <w:p w14:paraId="245661C2" w14:textId="54749CFE" w:rsidR="00974B65" w:rsidRPr="008F17AA" w:rsidRDefault="00584EF0" w:rsidP="00450BEA">
      <w:pPr>
        <w:ind w:firstLine="0"/>
        <w:rPr>
          <w:rFonts w:ascii="Equity Caps A" w:hAnsi="Equity Caps A"/>
        </w:rPr>
        <w:sectPr w:rsidR="00974B65" w:rsidRPr="008F17AA" w:rsidSect="00BA6B00">
          <w:headerReference w:type="default" r:id="rId7"/>
          <w:footerReference w:type="default" r:id="rId8"/>
          <w:type w:val="continuous"/>
          <w:pgSz w:w="12240" w:h="15840" w:code="1"/>
          <w:pgMar w:top="1440" w:right="2160" w:bottom="2160" w:left="2160" w:header="720" w:footer="720" w:gutter="0"/>
          <w:cols w:space="720"/>
          <w:titlePg/>
          <w:docGrid w:linePitch="360"/>
        </w:sectPr>
      </w:pPr>
      <w:r w:rsidRPr="00584EF0">
        <w:rPr>
          <w:rFonts w:ascii="Equity Caps A" w:hAnsi="Equity Caps A"/>
        </w:rPr>
        <w:t xml:space="preserve">Per </w:t>
      </w:r>
      <w:proofErr w:type="spellStart"/>
      <w:proofErr w:type="gramStart"/>
      <w:r w:rsidRPr="00584EF0">
        <w:rPr>
          <w:rFonts w:ascii="Equity Caps A" w:hAnsi="Equity Caps A"/>
        </w:rPr>
        <w:t>Curiam</w:t>
      </w:r>
      <w:proofErr w:type="spellEnd"/>
      <w:r w:rsidR="00E57F49" w:rsidRPr="008F17AA">
        <w:rPr>
          <w:rFonts w:ascii="Equity Caps A" w:hAnsi="Equity Caps A"/>
        </w:rPr>
        <w:t>:</w:t>
      </w:r>
      <w:r w:rsidR="006A4CEA" w:rsidRPr="00804650">
        <w:footnoteReference w:customMarkFollows="1" w:id="1"/>
        <w:t>*</w:t>
      </w:r>
      <w:proofErr w:type="gramEnd"/>
    </w:p>
    <w:p w14:paraId="20F12738" w14:textId="7BD68C70" w:rsidR="008E76FC" w:rsidRDefault="006702A8" w:rsidP="00A83449">
      <w:r>
        <w:t xml:space="preserve">On behalf of a class, </w:t>
      </w:r>
      <w:r w:rsidR="003D0F5D">
        <w:t>Andrea Cody, Brittany Burk, and Dana Whitfield (“Plaintiffs”)</w:t>
      </w:r>
      <w:r w:rsidR="008E76FC">
        <w:t xml:space="preserve"> alleg</w:t>
      </w:r>
      <w:r w:rsidR="00624673">
        <w:t>e</w:t>
      </w:r>
      <w:r w:rsidR="008E76FC">
        <w:t xml:space="preserve"> that Allstate </w:t>
      </w:r>
      <w:r w:rsidR="0051061B">
        <w:t xml:space="preserve">Fire and Casualty Insurance Company (“Allstate”) </w:t>
      </w:r>
      <w:r w:rsidR="008E76FC">
        <w:t>breached the</w:t>
      </w:r>
      <w:r w:rsidR="003131DA">
        <w:t xml:space="preserve"> terms of their</w:t>
      </w:r>
      <w:r w:rsidR="008E76FC">
        <w:t xml:space="preserve"> insurance polic</w:t>
      </w:r>
      <w:r w:rsidR="003131DA">
        <w:t>ies</w:t>
      </w:r>
      <w:r w:rsidR="008E76FC">
        <w:t xml:space="preserve"> by not using </w:t>
      </w:r>
      <w:r w:rsidR="008E76FC">
        <w:lastRenderedPageBreak/>
        <w:t xml:space="preserve">either the </w:t>
      </w:r>
      <w:r w:rsidR="006F3C45">
        <w:t xml:space="preserve">“Cost Approach” or </w:t>
      </w:r>
      <w:r w:rsidR="008E76FC">
        <w:t xml:space="preserve">“Comparable Sales Approach” </w:t>
      </w:r>
      <w:r w:rsidR="003131DA">
        <w:t>to</w:t>
      </w:r>
      <w:r w:rsidR="008E76FC">
        <w:t xml:space="preserve"> determi</w:t>
      </w:r>
      <w:r w:rsidR="003131DA">
        <w:t>ne the</w:t>
      </w:r>
      <w:r w:rsidR="008E76FC">
        <w:t xml:space="preserve"> </w:t>
      </w:r>
      <w:r w:rsidR="000F3773">
        <w:t>“Actual Cash Value” (</w:t>
      </w:r>
      <w:r w:rsidR="00251918">
        <w:t>“</w:t>
      </w:r>
      <w:r w:rsidR="000F3773">
        <w:t>ACV</w:t>
      </w:r>
      <w:r w:rsidR="00251918">
        <w:t>”</w:t>
      </w:r>
      <w:r w:rsidR="000F3773">
        <w:t>)</w:t>
      </w:r>
      <w:r w:rsidR="003131DA">
        <w:t xml:space="preserve"> of their automobiles</w:t>
      </w:r>
      <w:r w:rsidR="000F3773">
        <w:t>.</w:t>
      </w:r>
      <w:r w:rsidR="008E76FC">
        <w:t xml:space="preserve"> </w:t>
      </w:r>
      <w:r w:rsidR="007210F2">
        <w:t xml:space="preserve"> </w:t>
      </w:r>
      <w:r w:rsidR="008E76FC">
        <w:t>The district court held that</w:t>
      </w:r>
      <w:r w:rsidR="00FC29E1">
        <w:t>,</w:t>
      </w:r>
      <w:r w:rsidR="008E76FC">
        <w:t xml:space="preserve"> because</w:t>
      </w:r>
      <w:r w:rsidR="00F200B6">
        <w:t xml:space="preserve"> neither the contract nor</w:t>
      </w:r>
      <w:r w:rsidR="008E76FC">
        <w:t xml:space="preserve"> Texas </w:t>
      </w:r>
      <w:r w:rsidR="00AE173E">
        <w:t>s</w:t>
      </w:r>
      <w:r w:rsidR="008E76FC">
        <w:t>tate law require</w:t>
      </w:r>
      <w:r w:rsidR="003131DA">
        <w:t xml:space="preserve">s </w:t>
      </w:r>
      <w:r w:rsidR="00F200B6">
        <w:t>either</w:t>
      </w:r>
      <w:r w:rsidR="008E76FC">
        <w:t xml:space="preserve"> approach, Plaintiffs failed to state a claim</w:t>
      </w:r>
      <w:r w:rsidR="00FC29E1">
        <w:t>.</w:t>
      </w:r>
      <w:r w:rsidR="008E76FC">
        <w:t xml:space="preserve"> </w:t>
      </w:r>
      <w:r w:rsidR="00FC29E1">
        <w:t xml:space="preserve"> Accordingly,</w:t>
      </w:r>
      <w:r w:rsidR="008E76FC">
        <w:t xml:space="preserve"> the </w:t>
      </w:r>
      <w:r w:rsidR="00FC29E1">
        <w:t xml:space="preserve">district </w:t>
      </w:r>
      <w:r w:rsidR="008E76FC">
        <w:t>court granted Allstate’s Rule 12(b)(6) motion to dismiss.  We affirm.</w:t>
      </w:r>
    </w:p>
    <w:p w14:paraId="5E7A5DB8" w14:textId="77777777" w:rsidR="0092696B" w:rsidRDefault="008E76FC" w:rsidP="008E76FC">
      <w:pPr>
        <w:ind w:firstLine="0"/>
        <w:jc w:val="center"/>
        <w:rPr>
          <w:b/>
          <w:bCs/>
        </w:rPr>
      </w:pPr>
      <w:r w:rsidRPr="008E76FC">
        <w:rPr>
          <w:b/>
          <w:bCs/>
        </w:rPr>
        <w:t>I. Background</w:t>
      </w:r>
    </w:p>
    <w:p w14:paraId="176A3589" w14:textId="56DB5A2E" w:rsidR="008E76FC" w:rsidRDefault="008E76FC" w:rsidP="00A83449">
      <w:pPr>
        <w:ind w:firstLine="0"/>
      </w:pPr>
      <w:r>
        <w:tab/>
      </w:r>
      <w:r w:rsidR="00922198" w:rsidRPr="00922198">
        <w:t xml:space="preserve">Plaintiffs </w:t>
      </w:r>
      <w:r w:rsidR="003131DA">
        <w:t>are Allstate</w:t>
      </w:r>
      <w:r w:rsidR="00922198" w:rsidRPr="00922198">
        <w:t xml:space="preserve"> customers who </w:t>
      </w:r>
      <w:r w:rsidR="003131DA">
        <w:t xml:space="preserve">purchased </w:t>
      </w:r>
      <w:r w:rsidR="00922198" w:rsidRPr="00922198">
        <w:t>either a Texas Personal Auto Policy or a Renewal Texas Personal Auto Policy</w:t>
      </w:r>
      <w:r w:rsidR="003D0F5D">
        <w:t xml:space="preserve"> </w:t>
      </w:r>
      <w:r w:rsidR="00922198" w:rsidRPr="00922198">
        <w:t>from Allstate</w:t>
      </w:r>
      <w:r w:rsidR="0051061B">
        <w:t xml:space="preserve">. </w:t>
      </w:r>
      <w:r w:rsidR="00922198" w:rsidRPr="00922198">
        <w:t xml:space="preserve"> Both policies limit recovery for loss </w:t>
      </w:r>
      <w:r w:rsidR="003131DA">
        <w:t>of</w:t>
      </w:r>
      <w:r w:rsidR="00922198" w:rsidRPr="00922198">
        <w:t xml:space="preserve"> a covered automobile to </w:t>
      </w:r>
      <w:r w:rsidR="003131DA">
        <w:t>its</w:t>
      </w:r>
      <w:r w:rsidR="00922198" w:rsidRPr="00922198">
        <w:t xml:space="preserve"> “[a]</w:t>
      </w:r>
      <w:proofErr w:type="spellStart"/>
      <w:r w:rsidR="00922198" w:rsidRPr="00922198">
        <w:t>ctual</w:t>
      </w:r>
      <w:proofErr w:type="spellEnd"/>
      <w:r w:rsidR="00922198" w:rsidRPr="00922198">
        <w:t xml:space="preserve"> cash value </w:t>
      </w:r>
      <w:r w:rsidR="003131DA">
        <w:t xml:space="preserve">. . . </w:t>
      </w:r>
      <w:r w:rsidR="00922198" w:rsidRPr="00922198">
        <w:t xml:space="preserve">at the time of loss.”  </w:t>
      </w:r>
    </w:p>
    <w:p w14:paraId="60948C81" w14:textId="69E0E3A4" w:rsidR="00922198" w:rsidRDefault="00922198" w:rsidP="00A83449">
      <w:pPr>
        <w:ind w:firstLine="0"/>
      </w:pPr>
      <w:r>
        <w:tab/>
        <w:t xml:space="preserve">According to the Second Amended Complaint, in calculating ACV, Allstate </w:t>
      </w:r>
      <w:r w:rsidR="00A83449">
        <w:t xml:space="preserve">determines base value by </w:t>
      </w:r>
      <w:r>
        <w:t>choos</w:t>
      </w:r>
      <w:r w:rsidR="00A83449">
        <w:t>ing</w:t>
      </w:r>
      <w:r>
        <w:t xml:space="preserve"> three to ten comparable vehicles from </w:t>
      </w:r>
      <w:r w:rsidR="00A83449">
        <w:t>those</w:t>
      </w:r>
      <w:r>
        <w:t xml:space="preserve"> listed for sale in Texas</w:t>
      </w:r>
      <w:r w:rsidR="00A83449">
        <w:t>.</w:t>
      </w:r>
      <w:r>
        <w:t xml:space="preserve">  This base value is </w:t>
      </w:r>
      <w:r w:rsidR="003131DA">
        <w:t xml:space="preserve">then </w:t>
      </w:r>
      <w:r>
        <w:t>adjusted for mileage, condition, or options-based adjustments.</w:t>
      </w:r>
      <w:r w:rsidR="003131DA" w:rsidRPr="005A0D4A">
        <w:t xml:space="preserve">  </w:t>
      </w:r>
      <w:r w:rsidR="003131DA" w:rsidRPr="003131DA">
        <w:t>Al</w:t>
      </w:r>
      <w:r w:rsidR="003131DA">
        <w:t>l</w:t>
      </w:r>
      <w:r w:rsidR="003131DA" w:rsidRPr="003131DA">
        <w:t>state’s method</w:t>
      </w:r>
      <w:r w:rsidRPr="00922198">
        <w:t xml:space="preserve"> </w:t>
      </w:r>
      <w:r w:rsidR="003131DA">
        <w:t>d</w:t>
      </w:r>
      <w:r w:rsidRPr="00922198">
        <w:t>iffer</w:t>
      </w:r>
      <w:r w:rsidR="003131DA">
        <w:t>s from the two promoted by Plaintiffs—the Comparable Sales Approach and Cost Approach—only as to the initial base value calculation</w:t>
      </w:r>
      <w:r w:rsidRPr="00922198">
        <w:t xml:space="preserve">.  </w:t>
      </w:r>
    </w:p>
    <w:p w14:paraId="3DDF127F" w14:textId="0078E482" w:rsidR="00922198" w:rsidRDefault="00922198" w:rsidP="00A83449">
      <w:pPr>
        <w:ind w:firstLine="0"/>
        <w:rPr>
          <w:i/>
          <w:iCs/>
        </w:rPr>
      </w:pPr>
      <w:r>
        <w:tab/>
      </w:r>
      <w:r w:rsidRPr="00922198">
        <w:t>Unlike Allstate’s method, the Comparable Sales Approach</w:t>
      </w:r>
      <w:r w:rsidR="003131DA">
        <w:t xml:space="preserve"> calculates</w:t>
      </w:r>
      <w:r w:rsidRPr="00922198">
        <w:t xml:space="preserve"> </w:t>
      </w:r>
      <w:r w:rsidR="003131DA">
        <w:t xml:space="preserve">the base value by looking at </w:t>
      </w:r>
      <w:r w:rsidRPr="00922198">
        <w:t>actual sales data rather than offers.  It also specifi</w:t>
      </w:r>
      <w:r w:rsidR="008051FA">
        <w:t>cally</w:t>
      </w:r>
      <w:r w:rsidRPr="00922198">
        <w:t xml:space="preserve"> requir</w:t>
      </w:r>
      <w:r w:rsidR="008051FA">
        <w:t>es</w:t>
      </w:r>
      <w:r w:rsidRPr="00922198">
        <w:t xml:space="preserve"> that the sales data be from the same county and month in which a total-loss accident occurs.  </w:t>
      </w:r>
    </w:p>
    <w:p w14:paraId="2200ECE4" w14:textId="77777777" w:rsidR="00196D6A" w:rsidRDefault="00922198" w:rsidP="00A83449">
      <w:pPr>
        <w:ind w:firstLine="0"/>
      </w:pPr>
      <w:r>
        <w:rPr>
          <w:i/>
          <w:iCs/>
        </w:rPr>
        <w:tab/>
      </w:r>
      <w:r w:rsidRPr="00922198">
        <w:t xml:space="preserve">The Cost Approach calculates ACV by </w:t>
      </w:r>
      <w:r w:rsidR="003131DA">
        <w:t>subtracting depreciation from the replacement cost</w:t>
      </w:r>
      <w:r w:rsidRPr="00922198">
        <w:t xml:space="preserve">, which mandates </w:t>
      </w:r>
      <w:r w:rsidR="003131DA">
        <w:t>consideration</w:t>
      </w:r>
      <w:r w:rsidRPr="00922198">
        <w:t xml:space="preserve"> of sales taxes and mandatory fees involved in replacing a vehicle.  Mandatory fees include title fees, registration fees, safety inspection costs, and emissions inspection fees.  Allstate only sometimes pays sales tax and title fees.</w:t>
      </w:r>
    </w:p>
    <w:p w14:paraId="68724CB1" w14:textId="77777777" w:rsidR="00196D6A" w:rsidRDefault="00196D6A" w:rsidP="00A83449">
      <w:pPr>
        <w:ind w:firstLine="0"/>
      </w:pPr>
    </w:p>
    <w:p w14:paraId="31D55F9D" w14:textId="6A626CC3" w:rsidR="00922198" w:rsidRDefault="00922198" w:rsidP="00A83449">
      <w:pPr>
        <w:ind w:firstLine="0"/>
      </w:pPr>
    </w:p>
    <w:p w14:paraId="61C1DCD4" w14:textId="77777777" w:rsidR="00F200B6" w:rsidRPr="00F200B6" w:rsidRDefault="00F200B6" w:rsidP="00F200B6">
      <w:pPr>
        <w:ind w:firstLine="0"/>
        <w:jc w:val="center"/>
        <w:rPr>
          <w:b/>
          <w:bCs/>
        </w:rPr>
      </w:pPr>
      <w:r w:rsidRPr="00F200B6">
        <w:rPr>
          <w:b/>
          <w:bCs/>
        </w:rPr>
        <w:lastRenderedPageBreak/>
        <w:t>II. Standard of Review</w:t>
      </w:r>
    </w:p>
    <w:p w14:paraId="6541A634" w14:textId="309092D6" w:rsidR="00F200B6" w:rsidRDefault="00F200B6" w:rsidP="00A83449">
      <w:r w:rsidRPr="00F200B6">
        <w:t xml:space="preserve">Dismissals for failure to state a claim are reviewed de novo.  </w:t>
      </w:r>
      <w:r w:rsidRPr="00F200B6">
        <w:rPr>
          <w:i/>
          <w:iCs/>
        </w:rPr>
        <w:t>Magee v. Reed</w:t>
      </w:r>
      <w:r w:rsidRPr="00F200B6">
        <w:t>, 912 F.3d 820,</w:t>
      </w:r>
      <w:r w:rsidR="0007430F">
        <w:t xml:space="preserve"> </w:t>
      </w:r>
      <w:r w:rsidRPr="00F200B6">
        <w:t xml:space="preserve">822 (5th Cir. 2019).  Similarly, the district court’s interpretation of an insurance policy is a question of law that we review de novo.  </w:t>
      </w:r>
      <w:r w:rsidRPr="00F200B6">
        <w:rPr>
          <w:i/>
          <w:iCs/>
        </w:rPr>
        <w:t xml:space="preserve">Lubbock </w:t>
      </w:r>
      <w:proofErr w:type="spellStart"/>
      <w:r w:rsidRPr="00F200B6">
        <w:rPr>
          <w:i/>
          <w:iCs/>
        </w:rPr>
        <w:t>Cty</w:t>
      </w:r>
      <w:proofErr w:type="spellEnd"/>
      <w:r w:rsidRPr="00F200B6">
        <w:rPr>
          <w:i/>
          <w:iCs/>
        </w:rPr>
        <w:t>. Hosp. Dist. v. Nat’l Union Fire Ins. Co. of Pittsburgh</w:t>
      </w:r>
      <w:r w:rsidRPr="00F200B6">
        <w:t>, 143 F.3d 239, 241–42 (5th Cir. 1998)</w:t>
      </w:r>
      <w:r>
        <w:t>.</w:t>
      </w:r>
    </w:p>
    <w:p w14:paraId="2291F607" w14:textId="77777777" w:rsidR="00DF47B1" w:rsidRPr="00DF47B1" w:rsidRDefault="00DF47B1" w:rsidP="00DF47B1">
      <w:pPr>
        <w:ind w:firstLine="0"/>
        <w:jc w:val="center"/>
        <w:rPr>
          <w:b/>
          <w:bCs/>
        </w:rPr>
      </w:pPr>
      <w:r w:rsidRPr="00DF47B1">
        <w:rPr>
          <w:b/>
          <w:bCs/>
        </w:rPr>
        <w:t>III. Discussion</w:t>
      </w:r>
    </w:p>
    <w:p w14:paraId="54983BEA" w14:textId="77777777" w:rsidR="00DF47B1" w:rsidRPr="00DF47B1" w:rsidRDefault="00DF47B1" w:rsidP="00A87F6F">
      <w:pPr>
        <w:ind w:firstLine="0"/>
        <w:jc w:val="center"/>
        <w:rPr>
          <w:b/>
          <w:bCs/>
        </w:rPr>
      </w:pPr>
      <w:r w:rsidRPr="00DF47B1">
        <w:rPr>
          <w:b/>
          <w:bCs/>
        </w:rPr>
        <w:t>A.</w:t>
      </w:r>
    </w:p>
    <w:p w14:paraId="6F3F63E2" w14:textId="06E19925" w:rsidR="00DF47B1" w:rsidRDefault="00A87F6F" w:rsidP="00A83449">
      <w:r>
        <w:t>Plaintiffs</w:t>
      </w:r>
      <w:r w:rsidR="008051FA">
        <w:t>’</w:t>
      </w:r>
      <w:r w:rsidR="00DF47B1">
        <w:t xml:space="preserve"> Cost Approach calculates ACV by </w:t>
      </w:r>
      <w:r w:rsidR="002C2CD4">
        <w:t>subtracting de</w:t>
      </w:r>
      <w:r w:rsidR="00043800">
        <w:t>preciation</w:t>
      </w:r>
      <w:r w:rsidR="002C2CD4">
        <w:t xml:space="preserve"> from</w:t>
      </w:r>
      <w:r w:rsidR="00DF47B1">
        <w:t xml:space="preserve"> replacement cost, which includes taxes and mandatory fees.  In </w:t>
      </w:r>
      <w:r w:rsidR="00DF47B1" w:rsidRPr="008E24A4">
        <w:rPr>
          <w:i/>
          <w:iCs/>
        </w:rPr>
        <w:t>Singleton v. Elephant Insurance Co</w:t>
      </w:r>
      <w:r w:rsidR="00DF47B1">
        <w:t>., 953 F.3d 334 (5</w:t>
      </w:r>
      <w:r w:rsidR="00DF47B1" w:rsidRPr="008E24A4">
        <w:t xml:space="preserve">th </w:t>
      </w:r>
      <w:r w:rsidR="00DF47B1">
        <w:t xml:space="preserve">Cir. 2020), this court </w:t>
      </w:r>
      <w:r w:rsidR="002C2CD4">
        <w:t>answered the</w:t>
      </w:r>
      <w:r w:rsidR="00DF47B1">
        <w:t xml:space="preserve"> question of whether insurance companies need to pay for taxes and mandatory fees under the auspices of ACV.  </w:t>
      </w:r>
      <w:r w:rsidR="002C2CD4">
        <w:t>We said they do not,</w:t>
      </w:r>
      <w:r w:rsidR="00DF47B1">
        <w:t xml:space="preserve"> specifically holding that taxes and fees are plainly excluded and finding a lack of precedent under Texas law requiring the use of “replacement cost less depreciation.” </w:t>
      </w:r>
      <w:r w:rsidR="001732FB">
        <w:t xml:space="preserve"> </w:t>
      </w:r>
      <w:r w:rsidR="00DF47B1" w:rsidRPr="001732FB">
        <w:rPr>
          <w:i/>
          <w:iCs/>
        </w:rPr>
        <w:t>Id</w:t>
      </w:r>
      <w:r w:rsidR="00DF47B1">
        <w:t>. at 338</w:t>
      </w:r>
      <w:r w:rsidR="000F5D73">
        <w:t xml:space="preserve"> n.4</w:t>
      </w:r>
      <w:r w:rsidR="00DF47B1">
        <w:t xml:space="preserve">.  Plaintiffs concede that if </w:t>
      </w:r>
      <w:r w:rsidR="00DF47B1" w:rsidRPr="00FE6FE1">
        <w:rPr>
          <w:i/>
          <w:iCs/>
        </w:rPr>
        <w:t>Singleton</w:t>
      </w:r>
      <w:r w:rsidR="00DF47B1">
        <w:t xml:space="preserve"> applies to this case, the district court was correct in dismissing their claim that the Cost Approach applies. </w:t>
      </w:r>
    </w:p>
    <w:p w14:paraId="6DE7DA2C" w14:textId="32186398" w:rsidR="00FE6FE1" w:rsidRDefault="00FE6FE1" w:rsidP="00A83449">
      <w:r>
        <w:t xml:space="preserve">Plaintiffs are unable to persuasively distinguish this case from </w:t>
      </w:r>
      <w:r w:rsidRPr="00FE6FE1">
        <w:rPr>
          <w:i/>
          <w:iCs/>
        </w:rPr>
        <w:t>Singleton</w:t>
      </w:r>
      <w:r>
        <w:t xml:space="preserve"> and spent no time in oral argument defending the applicability of the Cost Approach. </w:t>
      </w:r>
      <w:r w:rsidR="00473238">
        <w:t xml:space="preserve"> In their brief</w:t>
      </w:r>
      <w:r w:rsidR="00385BF2">
        <w:t>ing</w:t>
      </w:r>
      <w:r w:rsidR="00473238">
        <w:t xml:space="preserve">, </w:t>
      </w:r>
      <w:r w:rsidR="002C2CD4">
        <w:t>P</w:t>
      </w:r>
      <w:r w:rsidR="00473238">
        <w:t xml:space="preserve">laintiffs claim that the Texas Department of Insurance Automobile Insurance Guide </w:t>
      </w:r>
      <w:r w:rsidR="008051FA">
        <w:t>defines</w:t>
      </w:r>
      <w:r w:rsidR="00473238">
        <w:t xml:space="preserve"> ACV </w:t>
      </w:r>
      <w:r w:rsidR="008051FA">
        <w:t>a</w:t>
      </w:r>
      <w:r w:rsidR="00473238">
        <w:t xml:space="preserve">s replacement cost minus depreciation.  </w:t>
      </w:r>
      <w:r w:rsidR="00A87F6F">
        <w:t xml:space="preserve">Nothing </w:t>
      </w:r>
      <w:r w:rsidR="00473238">
        <w:t>indicat</w:t>
      </w:r>
      <w:r w:rsidR="00A87F6F">
        <w:t>es</w:t>
      </w:r>
      <w:r w:rsidR="00473238">
        <w:t xml:space="preserve"> that this online source is authoritative.  Moreover, extrinsic evidence cannot be considered</w:t>
      </w:r>
      <w:r w:rsidR="00F15CD6">
        <w:t xml:space="preserve"> when the contract is unambiguous</w:t>
      </w:r>
      <w:r w:rsidR="00473238">
        <w:t xml:space="preserve">.  </w:t>
      </w:r>
      <w:r w:rsidR="00473238" w:rsidRPr="00473238">
        <w:rPr>
          <w:i/>
          <w:iCs/>
        </w:rPr>
        <w:t>See</w:t>
      </w:r>
      <w:r w:rsidR="00473238">
        <w:t xml:space="preserve"> </w:t>
      </w:r>
      <w:r w:rsidR="007210F2">
        <w:rPr>
          <w:i/>
          <w:iCs/>
        </w:rPr>
        <w:t>i</w:t>
      </w:r>
      <w:r w:rsidR="00A87F6F" w:rsidRPr="00A87F6F">
        <w:rPr>
          <w:i/>
          <w:iCs/>
        </w:rPr>
        <w:t>d.</w:t>
      </w:r>
      <w:r w:rsidR="00A87F6F">
        <w:t xml:space="preserve"> at 339;</w:t>
      </w:r>
      <w:r w:rsidR="00A87F6F">
        <w:rPr>
          <w:i/>
          <w:iCs/>
        </w:rPr>
        <w:t xml:space="preserve"> </w:t>
      </w:r>
      <w:r w:rsidR="00C85ED1" w:rsidRPr="00A101DF">
        <w:rPr>
          <w:i/>
          <w:iCs/>
        </w:rPr>
        <w:t>Nat’l Union Fire Ins. Co. of Pittsburgh v. CBI Indus., Inc</w:t>
      </w:r>
      <w:r w:rsidR="00C85ED1">
        <w:t>., 907 S.W.2d 517, 520 (Tex. 1995)</w:t>
      </w:r>
      <w:r w:rsidR="00A87F6F">
        <w:t xml:space="preserve">.  </w:t>
      </w:r>
      <w:r w:rsidR="00A87F6F" w:rsidRPr="00A87F6F">
        <w:rPr>
          <w:i/>
          <w:iCs/>
        </w:rPr>
        <w:t>Singleton</w:t>
      </w:r>
      <w:r w:rsidRPr="00A87F6F">
        <w:rPr>
          <w:i/>
          <w:iCs/>
        </w:rPr>
        <w:t xml:space="preserve"> </w:t>
      </w:r>
      <w:r>
        <w:t>applies</w:t>
      </w:r>
      <w:r w:rsidR="00A87F6F">
        <w:t xml:space="preserve"> here</w:t>
      </w:r>
      <w:r>
        <w:t xml:space="preserve">, and this claim was properly dismissed.  </w:t>
      </w:r>
    </w:p>
    <w:p w14:paraId="72A9BA99" w14:textId="77777777" w:rsidR="00FE6FE1" w:rsidRPr="00FE6FE1" w:rsidRDefault="00FE6FE1" w:rsidP="00A87F6F">
      <w:pPr>
        <w:ind w:firstLine="0"/>
        <w:jc w:val="center"/>
        <w:rPr>
          <w:b/>
          <w:bCs/>
        </w:rPr>
      </w:pPr>
      <w:r w:rsidRPr="00FE6FE1">
        <w:rPr>
          <w:b/>
          <w:bCs/>
        </w:rPr>
        <w:lastRenderedPageBreak/>
        <w:t>B</w:t>
      </w:r>
      <w:r w:rsidR="00A87F6F">
        <w:rPr>
          <w:b/>
          <w:bCs/>
        </w:rPr>
        <w:t>.</w:t>
      </w:r>
    </w:p>
    <w:p w14:paraId="74688015" w14:textId="2448951E" w:rsidR="00182D21" w:rsidRDefault="00182D21" w:rsidP="00A83449">
      <w:pPr>
        <w:ind w:firstLine="0"/>
      </w:pPr>
      <w:r>
        <w:tab/>
        <w:t xml:space="preserve">Plaintiffs’ Comparable Sales Approach </w:t>
      </w:r>
      <w:r w:rsidR="002C2CD4">
        <w:t xml:space="preserve">would </w:t>
      </w:r>
      <w:r w:rsidR="00C85ED1">
        <w:t>require</w:t>
      </w:r>
      <w:r>
        <w:t xml:space="preserve"> Allstate</w:t>
      </w:r>
      <w:r w:rsidR="002C2CD4">
        <w:t xml:space="preserve"> to </w:t>
      </w:r>
      <w:r>
        <w:t xml:space="preserve">look at actual sales of the </w:t>
      </w:r>
      <w:r w:rsidR="008051FA">
        <w:t xml:space="preserve">covered </w:t>
      </w:r>
      <w:r>
        <w:t xml:space="preserve">vehicle from the same county and month as the accident.  In a very thorough opinion, the district court notes </w:t>
      </w:r>
      <w:r w:rsidR="002C2CD4">
        <w:t xml:space="preserve">that </w:t>
      </w:r>
      <w:r>
        <w:t>there is no legal authority—statute, code, or case law—that requires this approach.  The district court correctly noted that Texas law requires courts to “give the policy’s words their plain meaning, without inserting additional provisions into the contract</w:t>
      </w:r>
      <w:r w:rsidR="008051FA">
        <w:t>,</w:t>
      </w:r>
      <w:r>
        <w:t xml:space="preserve">”  </w:t>
      </w:r>
      <w:r w:rsidRPr="00182D21">
        <w:rPr>
          <w:i/>
          <w:iCs/>
        </w:rPr>
        <w:t>Don’s Bldg. Supply, Inc. v. OneBeacon Ins.</w:t>
      </w:r>
      <w:r>
        <w:t xml:space="preserve"> </w:t>
      </w:r>
      <w:r w:rsidRPr="00A541AF">
        <w:rPr>
          <w:i/>
          <w:iCs/>
        </w:rPr>
        <w:t>Co</w:t>
      </w:r>
      <w:r>
        <w:t>., 267 S.W.3d 20, 23 (Tex. 2008)</w:t>
      </w:r>
      <w:r w:rsidR="00132197">
        <w:t xml:space="preserve"> </w:t>
      </w:r>
      <w:r w:rsidR="00F15CD6">
        <w:t>(cleaned up)</w:t>
      </w:r>
      <w:r>
        <w:t xml:space="preserve">, and that mandating the Comparable Sales Approach “would certainly insert an additional requirement into the Policy.”  </w:t>
      </w:r>
    </w:p>
    <w:p w14:paraId="6806933F" w14:textId="5BE18225" w:rsidR="00DF47B1" w:rsidRDefault="00182D21" w:rsidP="00A83449">
      <w:pPr>
        <w:ind w:firstLine="0"/>
      </w:pPr>
      <w:r>
        <w:tab/>
        <w:t xml:space="preserve">We agree that there is no Texas state authority mandating the Comparable Sales Approach. </w:t>
      </w:r>
      <w:r w:rsidR="00D06674">
        <w:t xml:space="preserve"> </w:t>
      </w:r>
      <w:r w:rsidR="00AD7C1C">
        <w:t>P</w:t>
      </w:r>
      <w:r w:rsidR="00D06674">
        <w:t>laintiffs</w:t>
      </w:r>
      <w:r w:rsidR="008051FA">
        <w:t xml:space="preserve"> counter by</w:t>
      </w:r>
      <w:r w:rsidR="00D06674">
        <w:t xml:space="preserve"> </w:t>
      </w:r>
      <w:r w:rsidR="006F3C45">
        <w:t>argu</w:t>
      </w:r>
      <w:r w:rsidR="008051FA">
        <w:t>ing</w:t>
      </w:r>
      <w:r w:rsidR="006F3C45">
        <w:t xml:space="preserve"> that their complaint involves a question of fact.</w:t>
      </w:r>
      <w:r w:rsidR="00D06674">
        <w:t xml:space="preserve">  </w:t>
      </w:r>
      <w:r w:rsidR="00043800">
        <w:t>But i</w:t>
      </w:r>
      <w:r w:rsidR="00D06674">
        <w:t>t</w:t>
      </w:r>
      <w:r w:rsidR="00AD7C1C">
        <w:t xml:space="preserve"> i</w:t>
      </w:r>
      <w:r w:rsidR="00D06674">
        <w:t>s clear from the Second Amended Complain</w:t>
      </w:r>
      <w:r w:rsidR="00043800">
        <w:t>t</w:t>
      </w:r>
      <w:r w:rsidR="00D06674">
        <w:t xml:space="preserve"> that </w:t>
      </w:r>
      <w:r w:rsidR="00AD7C1C">
        <w:t>Plaintiffs advance a specific legal question</w:t>
      </w:r>
      <w:r w:rsidR="002C2CD4">
        <w:t xml:space="preserve">: whether </w:t>
      </w:r>
      <w:r w:rsidR="00AD7C1C">
        <w:t>the Comparable Sales Approach is required as a matter of Texas law.  Th</w:t>
      </w:r>
      <w:r w:rsidR="000550D3">
        <w:t>is</w:t>
      </w:r>
      <w:r w:rsidR="00AD7C1C">
        <w:t xml:space="preserve"> is no</w:t>
      </w:r>
      <w:r w:rsidR="000550D3">
        <w:t>t an</w:t>
      </w:r>
      <w:r w:rsidR="00AD7C1C">
        <w:t xml:space="preserve"> issue of fact.  Because no authority mandates the use of the Comparable Sales Approach,</w:t>
      </w:r>
      <w:r w:rsidR="00D06674">
        <w:t xml:space="preserve"> Allstate</w:t>
      </w:r>
      <w:r w:rsidR="00994228">
        <w:t xml:space="preserve"> is not in </w:t>
      </w:r>
      <w:r w:rsidR="00D06674">
        <w:t xml:space="preserve">breach for </w:t>
      </w:r>
      <w:r w:rsidR="00AD7C1C">
        <w:t>using a different methodology.</w:t>
      </w:r>
    </w:p>
    <w:p w14:paraId="5F4BCE32" w14:textId="77777777" w:rsidR="00AD7C1C" w:rsidRPr="00AD5AB8" w:rsidRDefault="00AD7C1C" w:rsidP="00AD7C1C">
      <w:pPr>
        <w:ind w:firstLine="0"/>
        <w:jc w:val="center"/>
        <w:rPr>
          <w:b/>
          <w:bCs/>
        </w:rPr>
      </w:pPr>
      <w:r w:rsidRPr="00AD5AB8">
        <w:rPr>
          <w:b/>
          <w:bCs/>
        </w:rPr>
        <w:t>C.</w:t>
      </w:r>
    </w:p>
    <w:p w14:paraId="7A324D18" w14:textId="556C2678" w:rsidR="00AD7C1C" w:rsidRDefault="00AD7C1C" w:rsidP="00A83449">
      <w:r>
        <w:t xml:space="preserve">Plaintiffs </w:t>
      </w:r>
      <w:r w:rsidR="00D13E19">
        <w:t>have</w:t>
      </w:r>
      <w:r>
        <w:t xml:space="preserve"> two more claims in their Second Amend</w:t>
      </w:r>
      <w:r w:rsidR="006702A8">
        <w:t>ed</w:t>
      </w:r>
      <w:r>
        <w:t xml:space="preserve"> Complaint.  One is </w:t>
      </w:r>
      <w:r w:rsidR="002C2CD4">
        <w:t>for</w:t>
      </w:r>
      <w:r>
        <w:t xml:space="preserve"> declaratory judgment</w:t>
      </w:r>
      <w:r w:rsidR="002C2CD4">
        <w:t xml:space="preserve"> and the other </w:t>
      </w:r>
      <w:r w:rsidR="008C04F9">
        <w:t xml:space="preserve">is </w:t>
      </w:r>
      <w:r w:rsidR="002C2CD4">
        <w:t>for a violation of the Prompt Payment Act</w:t>
      </w:r>
      <w:r w:rsidR="00994228">
        <w:t>.</w:t>
      </w:r>
      <w:r>
        <w:t xml:space="preserve"> </w:t>
      </w:r>
      <w:r w:rsidR="00A541AF">
        <w:t xml:space="preserve"> </w:t>
      </w:r>
      <w:r>
        <w:t xml:space="preserve">Both </w:t>
      </w:r>
      <w:r w:rsidR="00251918">
        <w:t xml:space="preserve">claims </w:t>
      </w:r>
      <w:r>
        <w:t>depend on either the Cost or the Comparable Sales Approach being required</w:t>
      </w:r>
      <w:r w:rsidR="00251918">
        <w:t xml:space="preserve">, and thus were also </w:t>
      </w:r>
      <w:r w:rsidR="00994228">
        <w:t>correctly</w:t>
      </w:r>
      <w:r w:rsidR="00251918">
        <w:t xml:space="preserve"> dismissed by the district court.</w:t>
      </w:r>
    </w:p>
    <w:p w14:paraId="76C4985D" w14:textId="77777777" w:rsidR="00994228" w:rsidRPr="00994228" w:rsidRDefault="00994228" w:rsidP="00994228">
      <w:pPr>
        <w:keepNext/>
        <w:ind w:firstLine="0"/>
        <w:jc w:val="center"/>
        <w:rPr>
          <w:szCs w:val="26"/>
        </w:rPr>
      </w:pPr>
      <w:r>
        <w:rPr>
          <w:szCs w:val="26"/>
        </w:rPr>
        <w:lastRenderedPageBreak/>
        <w:t>* * *</w:t>
      </w:r>
    </w:p>
    <w:p w14:paraId="6F16115B" w14:textId="4CE37629" w:rsidR="00251918" w:rsidRPr="00AD7C1C" w:rsidRDefault="00251918" w:rsidP="00A83449">
      <w:r w:rsidRPr="00251918">
        <w:t xml:space="preserve">The plaintiff is “the master of her complaint.”  </w:t>
      </w:r>
      <w:r w:rsidR="006702A8">
        <w:rPr>
          <w:i/>
          <w:iCs/>
        </w:rPr>
        <w:t xml:space="preserve">Carpenter v. Wichita Falls </w:t>
      </w:r>
      <w:proofErr w:type="spellStart"/>
      <w:r w:rsidR="006702A8">
        <w:rPr>
          <w:i/>
          <w:iCs/>
        </w:rPr>
        <w:t>Ind</w:t>
      </w:r>
      <w:r w:rsidR="000F5D73">
        <w:rPr>
          <w:i/>
          <w:iCs/>
        </w:rPr>
        <w:t>ep</w:t>
      </w:r>
      <w:proofErr w:type="spellEnd"/>
      <w:r w:rsidR="000F5D73">
        <w:rPr>
          <w:i/>
          <w:iCs/>
        </w:rPr>
        <w:t>.</w:t>
      </w:r>
      <w:r w:rsidR="006702A8">
        <w:rPr>
          <w:i/>
          <w:iCs/>
        </w:rPr>
        <w:t xml:space="preserve"> Sch</w:t>
      </w:r>
      <w:r w:rsidR="000F5D73">
        <w:rPr>
          <w:i/>
          <w:iCs/>
        </w:rPr>
        <w:t>.</w:t>
      </w:r>
      <w:r w:rsidR="006702A8">
        <w:rPr>
          <w:i/>
          <w:iCs/>
        </w:rPr>
        <w:t xml:space="preserve"> Dist</w:t>
      </w:r>
      <w:r w:rsidR="005A0D4A">
        <w:rPr>
          <w:i/>
          <w:iCs/>
        </w:rPr>
        <w:t>.</w:t>
      </w:r>
      <w:r w:rsidR="000F5D73">
        <w:t>, 44 F.3d 362, 366 (5</w:t>
      </w:r>
      <w:r w:rsidR="000F5D73" w:rsidRPr="00F15CD6">
        <w:t>th</w:t>
      </w:r>
      <w:r w:rsidR="000F5D73">
        <w:t xml:space="preserve"> Cir. 1995)</w:t>
      </w:r>
      <w:r w:rsidRPr="00251918">
        <w:t xml:space="preserve">.  Plaintiffs chose to plead </w:t>
      </w:r>
      <w:r w:rsidR="00A83449">
        <w:t>claims that rely</w:t>
      </w:r>
      <w:r w:rsidRPr="00251918">
        <w:t xml:space="preserve"> on </w:t>
      </w:r>
      <w:r>
        <w:t>the incorrect</w:t>
      </w:r>
      <w:r w:rsidRPr="00251918">
        <w:t xml:space="preserve"> legal conclusion that Allstate is mandated by Texas law to use either the Comparable Sales Approach or the Cost Approach.  </w:t>
      </w:r>
      <w:r>
        <w:t>T</w:t>
      </w:r>
      <w:r w:rsidRPr="00251918">
        <w:t>he district court was correct in dismissing Plaintiffs</w:t>
      </w:r>
      <w:r w:rsidR="0007430F">
        <w:t>’</w:t>
      </w:r>
      <w:r w:rsidRPr="00251918">
        <w:t xml:space="preserve"> complaint.  </w:t>
      </w:r>
      <w:r>
        <w:t>We affirm.</w:t>
      </w:r>
    </w:p>
    <w:sectPr w:rsidR="00251918" w:rsidRPr="00AD7C1C" w:rsidSect="00A541AF">
      <w:type w:val="continuous"/>
      <w:pgSz w:w="12240" w:h="15840" w:code="1"/>
      <w:pgMar w:top="2160" w:right="2160" w:bottom="2160" w:left="216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067B" w14:textId="77777777" w:rsidR="00C66B6B" w:rsidRDefault="00C66B6B" w:rsidP="00443FDC">
      <w:r>
        <w:separator/>
      </w:r>
    </w:p>
  </w:endnote>
  <w:endnote w:type="continuationSeparator" w:id="0">
    <w:p w14:paraId="775394A5" w14:textId="77777777" w:rsidR="00C66B6B" w:rsidRDefault="00C66B6B" w:rsidP="0044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quity Text A">
    <w:panose1 w:val="000000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quity Caps A">
    <w:panose1 w:val="000000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BE603" w14:textId="77777777" w:rsidR="00330B05" w:rsidRPr="009B5994" w:rsidRDefault="00330B05" w:rsidP="008B7B1E">
    <w:pPr>
      <w:pStyle w:val="Footer"/>
      <w:tabs>
        <w:tab w:val="clear" w:pos="4680"/>
      </w:tabs>
      <w:ind w:firstLine="0"/>
      <w:jc w:val="center"/>
      <w:rPr>
        <w:szCs w:val="23"/>
      </w:rPr>
    </w:pPr>
    <w:r w:rsidRPr="009B5994">
      <w:rPr>
        <w:szCs w:val="23"/>
      </w:rPr>
      <w:fldChar w:fldCharType="begin"/>
    </w:r>
    <w:r w:rsidRPr="009B5994">
      <w:rPr>
        <w:szCs w:val="23"/>
      </w:rPr>
      <w:instrText xml:space="preserve"> PAGE   \* MERGEFORMAT </w:instrText>
    </w:r>
    <w:r w:rsidRPr="009B5994">
      <w:rPr>
        <w:szCs w:val="23"/>
      </w:rPr>
      <w:fldChar w:fldCharType="separate"/>
    </w:r>
    <w:r w:rsidR="0062299A" w:rsidRPr="009B5994">
      <w:rPr>
        <w:noProof/>
        <w:szCs w:val="23"/>
      </w:rPr>
      <w:t>2</w:t>
    </w:r>
    <w:r w:rsidRPr="009B5994">
      <w:rPr>
        <w:noProof/>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83C37" w14:textId="77777777" w:rsidR="00C66B6B" w:rsidRDefault="00C66B6B" w:rsidP="00443FDC">
      <w:r>
        <w:separator/>
      </w:r>
    </w:p>
  </w:footnote>
  <w:footnote w:type="continuationSeparator" w:id="0">
    <w:p w14:paraId="2F3964A8" w14:textId="77777777" w:rsidR="00C66B6B" w:rsidRDefault="00C66B6B" w:rsidP="00443FDC">
      <w:r>
        <w:continuationSeparator/>
      </w:r>
    </w:p>
  </w:footnote>
  <w:footnote w:id="1">
    <w:p w14:paraId="415B11CE" w14:textId="77777777" w:rsidR="006A4CEA" w:rsidRDefault="006A4CEA" w:rsidP="006A4CEA">
      <w:pPr>
        <w:spacing w:line="240" w:lineRule="auto"/>
      </w:pPr>
      <w:r>
        <w:rPr>
          <w:vertAlign w:val="superscript"/>
        </w:rPr>
        <w:t>*</w:t>
      </w:r>
      <w:r>
        <w:t xml:space="preserve"> </w:t>
      </w:r>
      <w:r w:rsidRPr="0092696B">
        <w:rPr>
          <w:sz w:val="22"/>
          <w:szCs w:val="20"/>
        </w:rPr>
        <w:t>Judge Ho</w:t>
      </w:r>
      <w:r>
        <w:rPr>
          <w:sz w:val="22"/>
          <w:szCs w:val="20"/>
        </w:rPr>
        <w:t xml:space="preserve"> concurs in Sections I, II, and </w:t>
      </w:r>
      <w:proofErr w:type="spellStart"/>
      <w:r>
        <w:rPr>
          <w:sz w:val="22"/>
          <w:szCs w:val="20"/>
        </w:rPr>
        <w:t>III.A</w:t>
      </w:r>
      <w:proofErr w:type="spellEnd"/>
      <w:r>
        <w:rPr>
          <w:sz w:val="22"/>
          <w:szCs w:val="20"/>
        </w:rPr>
        <w:t>.  He</w:t>
      </w:r>
      <w:r w:rsidRPr="0092696B">
        <w:rPr>
          <w:sz w:val="22"/>
          <w:szCs w:val="20"/>
        </w:rPr>
        <w:t xml:space="preserve"> would certify the question</w:t>
      </w:r>
      <w:r>
        <w:rPr>
          <w:sz w:val="22"/>
          <w:szCs w:val="20"/>
        </w:rPr>
        <w:t xml:space="preserve"> addressed in Section </w:t>
      </w:r>
      <w:proofErr w:type="spellStart"/>
      <w:r>
        <w:rPr>
          <w:sz w:val="22"/>
          <w:szCs w:val="20"/>
        </w:rPr>
        <w:t>III.B</w:t>
      </w:r>
      <w:proofErr w:type="spellEnd"/>
      <w:r>
        <w:rPr>
          <w:sz w:val="22"/>
          <w:szCs w:val="20"/>
        </w:rPr>
        <w:t xml:space="preserve"> </w:t>
      </w:r>
      <w:r w:rsidRPr="0092696B">
        <w:rPr>
          <w:sz w:val="22"/>
          <w:szCs w:val="20"/>
        </w:rPr>
        <w:t xml:space="preserve">to the Texas Supreme Court for consideration.  </w:t>
      </w:r>
      <w:r w:rsidRPr="0092696B">
        <w:rPr>
          <w:i/>
          <w:iCs/>
          <w:sz w:val="22"/>
          <w:szCs w:val="20"/>
        </w:rPr>
        <w:t>See</w:t>
      </w:r>
      <w:r w:rsidRPr="00A83449">
        <w:rPr>
          <w:sz w:val="22"/>
          <w:szCs w:val="20"/>
        </w:rPr>
        <w:t>,</w:t>
      </w:r>
      <w:r w:rsidRPr="0092696B">
        <w:rPr>
          <w:i/>
          <w:iCs/>
          <w:sz w:val="22"/>
          <w:szCs w:val="20"/>
        </w:rPr>
        <w:t xml:space="preserve"> e.g.</w:t>
      </w:r>
      <w:r w:rsidRPr="00A83449">
        <w:rPr>
          <w:sz w:val="22"/>
          <w:szCs w:val="20"/>
        </w:rPr>
        <w:t>,</w:t>
      </w:r>
      <w:r w:rsidRPr="0092696B">
        <w:rPr>
          <w:i/>
          <w:iCs/>
          <w:sz w:val="22"/>
          <w:szCs w:val="20"/>
        </w:rPr>
        <w:t xml:space="preserve"> </w:t>
      </w:r>
      <w:proofErr w:type="spellStart"/>
      <w:r w:rsidRPr="0092696B">
        <w:rPr>
          <w:i/>
          <w:iCs/>
          <w:sz w:val="22"/>
          <w:szCs w:val="20"/>
        </w:rPr>
        <w:t>JCB</w:t>
      </w:r>
      <w:proofErr w:type="spellEnd"/>
      <w:r w:rsidRPr="0092696B">
        <w:rPr>
          <w:i/>
          <w:iCs/>
          <w:sz w:val="22"/>
          <w:szCs w:val="20"/>
        </w:rPr>
        <w:t>, Inc. v. The Horsburgh &amp; Scott Co.</w:t>
      </w:r>
      <w:r w:rsidRPr="0092696B">
        <w:rPr>
          <w:sz w:val="22"/>
          <w:szCs w:val="20"/>
        </w:rPr>
        <w:t>, 941 F.3d 144, 145 (5th Cir.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FDA5" w14:textId="77777777" w:rsidR="00330B05" w:rsidRPr="009B5994" w:rsidRDefault="00E6584D" w:rsidP="00736160">
    <w:pPr>
      <w:pStyle w:val="Header"/>
      <w:ind w:firstLine="0"/>
      <w:jc w:val="center"/>
      <w:rPr>
        <w:szCs w:val="23"/>
      </w:rPr>
    </w:pPr>
    <w:r>
      <w:rPr>
        <w:szCs w:val="23"/>
      </w:rPr>
      <w:t>No. 21-10220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C5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DA2A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085D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D4BC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062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70C4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85F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40DC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04C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3E9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33F2B"/>
    <w:multiLevelType w:val="multilevel"/>
    <w:tmpl w:val="A6EA0EC8"/>
    <w:styleLink w:val="Numberedlist"/>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A54A6B"/>
    <w:multiLevelType w:val="hybridMultilevel"/>
    <w:tmpl w:val="7EBEA014"/>
    <w:lvl w:ilvl="0" w:tplc="A5FAFFE6">
      <w:start w:val="1"/>
      <w:numFmt w:val="bullet"/>
      <w:pStyle w:val="BulletedLis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4B5B2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140C02"/>
    <w:multiLevelType w:val="hybridMultilevel"/>
    <w:tmpl w:val="4336E1B4"/>
    <w:lvl w:ilvl="0" w:tplc="6E400298">
      <w:start w:val="1"/>
      <w:numFmt w:val="decimal"/>
      <w:pStyle w:val="NumberedList0"/>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SortMethod w:val="0000"/>
  <w:documentProtection w:edit="readOnly" w:enforcement="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4D"/>
    <w:rsid w:val="000004A0"/>
    <w:rsid w:val="00004250"/>
    <w:rsid w:val="000113E6"/>
    <w:rsid w:val="0002279A"/>
    <w:rsid w:val="0002643A"/>
    <w:rsid w:val="00031100"/>
    <w:rsid w:val="00032AC5"/>
    <w:rsid w:val="00035EAC"/>
    <w:rsid w:val="00043628"/>
    <w:rsid w:val="00043800"/>
    <w:rsid w:val="000535FA"/>
    <w:rsid w:val="000550D3"/>
    <w:rsid w:val="0006306A"/>
    <w:rsid w:val="00065FFA"/>
    <w:rsid w:val="00067EE0"/>
    <w:rsid w:val="00073933"/>
    <w:rsid w:val="0007430F"/>
    <w:rsid w:val="000805C1"/>
    <w:rsid w:val="00094F52"/>
    <w:rsid w:val="00095F8B"/>
    <w:rsid w:val="000C2B70"/>
    <w:rsid w:val="000C36D5"/>
    <w:rsid w:val="000D4A72"/>
    <w:rsid w:val="000D63D7"/>
    <w:rsid w:val="000F3773"/>
    <w:rsid w:val="000F5D73"/>
    <w:rsid w:val="001015BF"/>
    <w:rsid w:val="00105B86"/>
    <w:rsid w:val="00107DDD"/>
    <w:rsid w:val="00111928"/>
    <w:rsid w:val="00111F58"/>
    <w:rsid w:val="0013057D"/>
    <w:rsid w:val="00132197"/>
    <w:rsid w:val="00134473"/>
    <w:rsid w:val="001565C4"/>
    <w:rsid w:val="00164D90"/>
    <w:rsid w:val="00167E64"/>
    <w:rsid w:val="001732FB"/>
    <w:rsid w:val="00182D21"/>
    <w:rsid w:val="0019680A"/>
    <w:rsid w:val="00196D6A"/>
    <w:rsid w:val="001B08F3"/>
    <w:rsid w:val="001B45EB"/>
    <w:rsid w:val="001D09D2"/>
    <w:rsid w:val="001D20CF"/>
    <w:rsid w:val="001D7414"/>
    <w:rsid w:val="001E3A2D"/>
    <w:rsid w:val="001F2D52"/>
    <w:rsid w:val="00224534"/>
    <w:rsid w:val="00226427"/>
    <w:rsid w:val="002419B7"/>
    <w:rsid w:val="002504D7"/>
    <w:rsid w:val="00251918"/>
    <w:rsid w:val="00265264"/>
    <w:rsid w:val="00294F5F"/>
    <w:rsid w:val="002A5311"/>
    <w:rsid w:val="002B0BDC"/>
    <w:rsid w:val="002B3CE1"/>
    <w:rsid w:val="002C1200"/>
    <w:rsid w:val="002C2CD4"/>
    <w:rsid w:val="002C5478"/>
    <w:rsid w:val="002C5532"/>
    <w:rsid w:val="002C577C"/>
    <w:rsid w:val="002C62DB"/>
    <w:rsid w:val="002D4705"/>
    <w:rsid w:val="002D563D"/>
    <w:rsid w:val="002D5F59"/>
    <w:rsid w:val="002E1841"/>
    <w:rsid w:val="002E33FB"/>
    <w:rsid w:val="002F1591"/>
    <w:rsid w:val="003071E2"/>
    <w:rsid w:val="003131DA"/>
    <w:rsid w:val="003141AA"/>
    <w:rsid w:val="00314335"/>
    <w:rsid w:val="003143C4"/>
    <w:rsid w:val="00315532"/>
    <w:rsid w:val="003178D4"/>
    <w:rsid w:val="00324BBC"/>
    <w:rsid w:val="00325581"/>
    <w:rsid w:val="00330B05"/>
    <w:rsid w:val="0035586F"/>
    <w:rsid w:val="00385BF2"/>
    <w:rsid w:val="00390BB6"/>
    <w:rsid w:val="003B3C5E"/>
    <w:rsid w:val="003B6465"/>
    <w:rsid w:val="003D0F5D"/>
    <w:rsid w:val="00407508"/>
    <w:rsid w:val="00440B98"/>
    <w:rsid w:val="00443FDC"/>
    <w:rsid w:val="00450706"/>
    <w:rsid w:val="00450BEA"/>
    <w:rsid w:val="004552B2"/>
    <w:rsid w:val="0046020E"/>
    <w:rsid w:val="00473238"/>
    <w:rsid w:val="00480CA3"/>
    <w:rsid w:val="004D6515"/>
    <w:rsid w:val="004F3DED"/>
    <w:rsid w:val="004F7A67"/>
    <w:rsid w:val="005105CC"/>
    <w:rsid w:val="0051061B"/>
    <w:rsid w:val="00562DDA"/>
    <w:rsid w:val="00573721"/>
    <w:rsid w:val="00574C81"/>
    <w:rsid w:val="00580DB6"/>
    <w:rsid w:val="00584EF0"/>
    <w:rsid w:val="005A0D4A"/>
    <w:rsid w:val="005A6720"/>
    <w:rsid w:val="005C043E"/>
    <w:rsid w:val="005D3A0E"/>
    <w:rsid w:val="0060125D"/>
    <w:rsid w:val="00603896"/>
    <w:rsid w:val="0062299A"/>
    <w:rsid w:val="00624673"/>
    <w:rsid w:val="006310EF"/>
    <w:rsid w:val="006458E4"/>
    <w:rsid w:val="00647276"/>
    <w:rsid w:val="00653898"/>
    <w:rsid w:val="006665AA"/>
    <w:rsid w:val="006665AC"/>
    <w:rsid w:val="006702A8"/>
    <w:rsid w:val="00685087"/>
    <w:rsid w:val="0069008E"/>
    <w:rsid w:val="00691F22"/>
    <w:rsid w:val="006A4CEA"/>
    <w:rsid w:val="006B5878"/>
    <w:rsid w:val="006C1A73"/>
    <w:rsid w:val="006C3631"/>
    <w:rsid w:val="006D6EE0"/>
    <w:rsid w:val="006D7D10"/>
    <w:rsid w:val="006F3C45"/>
    <w:rsid w:val="0070072F"/>
    <w:rsid w:val="007146C4"/>
    <w:rsid w:val="007210F2"/>
    <w:rsid w:val="007230B2"/>
    <w:rsid w:val="00733D15"/>
    <w:rsid w:val="00736160"/>
    <w:rsid w:val="007439CB"/>
    <w:rsid w:val="00761468"/>
    <w:rsid w:val="0077375E"/>
    <w:rsid w:val="00783DE8"/>
    <w:rsid w:val="00783FA6"/>
    <w:rsid w:val="007B125D"/>
    <w:rsid w:val="007B413A"/>
    <w:rsid w:val="007B74CB"/>
    <w:rsid w:val="007D2174"/>
    <w:rsid w:val="007D74F7"/>
    <w:rsid w:val="007E2D8B"/>
    <w:rsid w:val="007E3F33"/>
    <w:rsid w:val="007E729D"/>
    <w:rsid w:val="00804650"/>
    <w:rsid w:val="008051FA"/>
    <w:rsid w:val="00817588"/>
    <w:rsid w:val="008236A6"/>
    <w:rsid w:val="00855EF1"/>
    <w:rsid w:val="00865097"/>
    <w:rsid w:val="0086758E"/>
    <w:rsid w:val="008724BD"/>
    <w:rsid w:val="00886531"/>
    <w:rsid w:val="0089324F"/>
    <w:rsid w:val="008951A8"/>
    <w:rsid w:val="008B27A4"/>
    <w:rsid w:val="008B7B1E"/>
    <w:rsid w:val="008C04F9"/>
    <w:rsid w:val="008C576E"/>
    <w:rsid w:val="008E76FC"/>
    <w:rsid w:val="008F17AA"/>
    <w:rsid w:val="008F25A6"/>
    <w:rsid w:val="008F470C"/>
    <w:rsid w:val="0091417C"/>
    <w:rsid w:val="00922198"/>
    <w:rsid w:val="00922BC9"/>
    <w:rsid w:val="009231BA"/>
    <w:rsid w:val="0092545D"/>
    <w:rsid w:val="0092696B"/>
    <w:rsid w:val="0095454B"/>
    <w:rsid w:val="00965C7E"/>
    <w:rsid w:val="00974B65"/>
    <w:rsid w:val="00976B4D"/>
    <w:rsid w:val="00977436"/>
    <w:rsid w:val="00993600"/>
    <w:rsid w:val="00994228"/>
    <w:rsid w:val="0099447D"/>
    <w:rsid w:val="009A3DFB"/>
    <w:rsid w:val="009B5994"/>
    <w:rsid w:val="009C2CB7"/>
    <w:rsid w:val="009C3C41"/>
    <w:rsid w:val="009E492B"/>
    <w:rsid w:val="009E7F8E"/>
    <w:rsid w:val="00A03432"/>
    <w:rsid w:val="00A115BC"/>
    <w:rsid w:val="00A13EB7"/>
    <w:rsid w:val="00A3582F"/>
    <w:rsid w:val="00A45E3F"/>
    <w:rsid w:val="00A5261C"/>
    <w:rsid w:val="00A541AF"/>
    <w:rsid w:val="00A83449"/>
    <w:rsid w:val="00A87F6F"/>
    <w:rsid w:val="00AA0344"/>
    <w:rsid w:val="00AA3788"/>
    <w:rsid w:val="00AA57E2"/>
    <w:rsid w:val="00AD5AB8"/>
    <w:rsid w:val="00AD7C1C"/>
    <w:rsid w:val="00AE173E"/>
    <w:rsid w:val="00B018E9"/>
    <w:rsid w:val="00B106F3"/>
    <w:rsid w:val="00B12CCA"/>
    <w:rsid w:val="00B143EF"/>
    <w:rsid w:val="00B15504"/>
    <w:rsid w:val="00B207FE"/>
    <w:rsid w:val="00B34B15"/>
    <w:rsid w:val="00B417EA"/>
    <w:rsid w:val="00B42E2F"/>
    <w:rsid w:val="00B57F10"/>
    <w:rsid w:val="00B81589"/>
    <w:rsid w:val="00B85981"/>
    <w:rsid w:val="00B87028"/>
    <w:rsid w:val="00BA21A9"/>
    <w:rsid w:val="00BA6B00"/>
    <w:rsid w:val="00BE4EE2"/>
    <w:rsid w:val="00BF10AA"/>
    <w:rsid w:val="00C01E3B"/>
    <w:rsid w:val="00C1574A"/>
    <w:rsid w:val="00C15C02"/>
    <w:rsid w:val="00C2781D"/>
    <w:rsid w:val="00C30C51"/>
    <w:rsid w:val="00C55AC5"/>
    <w:rsid w:val="00C66B6B"/>
    <w:rsid w:val="00C85ED1"/>
    <w:rsid w:val="00C915EA"/>
    <w:rsid w:val="00C93B02"/>
    <w:rsid w:val="00CB3BE3"/>
    <w:rsid w:val="00CC4AAF"/>
    <w:rsid w:val="00CC7789"/>
    <w:rsid w:val="00CD053A"/>
    <w:rsid w:val="00CE2262"/>
    <w:rsid w:val="00CE5404"/>
    <w:rsid w:val="00CF0204"/>
    <w:rsid w:val="00D06674"/>
    <w:rsid w:val="00D13E19"/>
    <w:rsid w:val="00D4088C"/>
    <w:rsid w:val="00D52AE9"/>
    <w:rsid w:val="00D52DAC"/>
    <w:rsid w:val="00D72EC4"/>
    <w:rsid w:val="00D800CF"/>
    <w:rsid w:val="00D968FE"/>
    <w:rsid w:val="00D97998"/>
    <w:rsid w:val="00DA0787"/>
    <w:rsid w:val="00DA18CE"/>
    <w:rsid w:val="00DA395E"/>
    <w:rsid w:val="00DA7A37"/>
    <w:rsid w:val="00DB2DFB"/>
    <w:rsid w:val="00DB63B1"/>
    <w:rsid w:val="00DC2A76"/>
    <w:rsid w:val="00DC331A"/>
    <w:rsid w:val="00DD1633"/>
    <w:rsid w:val="00DE58D1"/>
    <w:rsid w:val="00DF47B1"/>
    <w:rsid w:val="00E0222D"/>
    <w:rsid w:val="00E105FA"/>
    <w:rsid w:val="00E10C0C"/>
    <w:rsid w:val="00E130C5"/>
    <w:rsid w:val="00E46FB7"/>
    <w:rsid w:val="00E57F49"/>
    <w:rsid w:val="00E63B07"/>
    <w:rsid w:val="00E644D3"/>
    <w:rsid w:val="00E6584D"/>
    <w:rsid w:val="00E66F9F"/>
    <w:rsid w:val="00E72D16"/>
    <w:rsid w:val="00E75AA1"/>
    <w:rsid w:val="00E90BF9"/>
    <w:rsid w:val="00E96EA8"/>
    <w:rsid w:val="00ED73C4"/>
    <w:rsid w:val="00EF1BE5"/>
    <w:rsid w:val="00F00EEE"/>
    <w:rsid w:val="00F15CD6"/>
    <w:rsid w:val="00F200B6"/>
    <w:rsid w:val="00F22F7E"/>
    <w:rsid w:val="00F256D4"/>
    <w:rsid w:val="00F25B15"/>
    <w:rsid w:val="00F31600"/>
    <w:rsid w:val="00F43879"/>
    <w:rsid w:val="00F45EFF"/>
    <w:rsid w:val="00F466B9"/>
    <w:rsid w:val="00F667CE"/>
    <w:rsid w:val="00FC01BE"/>
    <w:rsid w:val="00FC29E1"/>
    <w:rsid w:val="00FC3FD1"/>
    <w:rsid w:val="00FE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300" w:lineRule="auto"/>
        <w:ind w:firstLine="7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4EF0"/>
    <w:pPr>
      <w:suppressAutoHyphens/>
      <w:jc w:val="both"/>
    </w:pPr>
    <w:rPr>
      <w:rFonts w:ascii="Equity Text A" w:eastAsia="Times New Roman" w:hAnsi="Equity Text A" w:cs="Times New Roman"/>
      <w:sz w:val="26"/>
      <w:szCs w:val="24"/>
    </w:rPr>
  </w:style>
  <w:style w:type="paragraph" w:styleId="Heading1">
    <w:name w:val="heading 1"/>
    <w:basedOn w:val="Normal"/>
    <w:next w:val="Normal"/>
    <w:link w:val="Heading1Char"/>
    <w:uiPriority w:val="9"/>
    <w:qFormat/>
    <w:rsid w:val="00AD7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7C1C"/>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locked/>
    <w:rsid w:val="0002643A"/>
    <w:pPr>
      <w:numPr>
        <w:numId w:val="1"/>
      </w:numPr>
    </w:pPr>
  </w:style>
  <w:style w:type="paragraph" w:styleId="Quote">
    <w:name w:val="Quote"/>
    <w:aliases w:val="Double Indent"/>
    <w:basedOn w:val="Normal"/>
    <w:next w:val="Normal"/>
    <w:link w:val="QuoteChar"/>
    <w:qFormat/>
    <w:rsid w:val="00065FFA"/>
    <w:pPr>
      <w:spacing w:after="160" w:line="240" w:lineRule="auto"/>
      <w:ind w:left="720" w:right="720"/>
    </w:pPr>
    <w:rPr>
      <w:iCs/>
      <w:color w:val="000000" w:themeColor="text1"/>
    </w:rPr>
  </w:style>
  <w:style w:type="character" w:customStyle="1" w:styleId="QuoteChar">
    <w:name w:val="Quote Char"/>
    <w:aliases w:val="Double Indent Char"/>
    <w:basedOn w:val="DefaultParagraphFont"/>
    <w:link w:val="Quote"/>
    <w:rsid w:val="00065FFA"/>
    <w:rPr>
      <w:rFonts w:ascii="Century Schoolbook" w:eastAsia="Times New Roman" w:hAnsi="Century Schoolbook" w:cs="Times New Roman"/>
      <w:iCs/>
      <w:color w:val="000000" w:themeColor="text1"/>
      <w:sz w:val="26"/>
      <w:szCs w:val="24"/>
    </w:rPr>
  </w:style>
  <w:style w:type="paragraph" w:customStyle="1" w:styleId="NumberedList0">
    <w:name w:val="Numbered List"/>
    <w:basedOn w:val="ListParagraph"/>
    <w:uiPriority w:val="4"/>
    <w:qFormat/>
    <w:locked/>
    <w:rsid w:val="0099447D"/>
    <w:pPr>
      <w:numPr>
        <w:numId w:val="3"/>
      </w:numPr>
      <w:spacing w:after="200"/>
      <w:contextualSpacing w:val="0"/>
    </w:pPr>
  </w:style>
  <w:style w:type="paragraph" w:styleId="ListParagraph">
    <w:name w:val="List Paragraph"/>
    <w:basedOn w:val="Normal"/>
    <w:uiPriority w:val="34"/>
    <w:qFormat/>
    <w:rsid w:val="0099447D"/>
    <w:pPr>
      <w:ind w:left="720"/>
      <w:contextualSpacing/>
    </w:pPr>
  </w:style>
  <w:style w:type="paragraph" w:customStyle="1" w:styleId="BulletedLists">
    <w:name w:val="Bulleted Lists"/>
    <w:basedOn w:val="ListParagraph"/>
    <w:uiPriority w:val="4"/>
    <w:qFormat/>
    <w:locked/>
    <w:rsid w:val="0099447D"/>
    <w:pPr>
      <w:numPr>
        <w:numId w:val="4"/>
      </w:numPr>
      <w:spacing w:after="240"/>
      <w:contextualSpacing w:val="0"/>
    </w:pPr>
  </w:style>
  <w:style w:type="paragraph" w:styleId="Header">
    <w:name w:val="header"/>
    <w:basedOn w:val="Normal"/>
    <w:link w:val="HeaderChar"/>
    <w:autoRedefine/>
    <w:uiPriority w:val="99"/>
    <w:unhideWhenUsed/>
    <w:rsid w:val="00584EF0"/>
    <w:pPr>
      <w:tabs>
        <w:tab w:val="center" w:pos="4680"/>
        <w:tab w:val="right" w:pos="9360"/>
      </w:tabs>
    </w:pPr>
    <w:rPr>
      <w:sz w:val="22"/>
    </w:rPr>
  </w:style>
  <w:style w:type="character" w:customStyle="1" w:styleId="HeaderChar">
    <w:name w:val="Header Char"/>
    <w:basedOn w:val="DefaultParagraphFont"/>
    <w:link w:val="Header"/>
    <w:uiPriority w:val="99"/>
    <w:rsid w:val="00584EF0"/>
    <w:rPr>
      <w:rFonts w:ascii="Equity Text A" w:eastAsia="Times New Roman" w:hAnsi="Equity Text A" w:cs="Times New Roman"/>
      <w:szCs w:val="24"/>
    </w:rPr>
  </w:style>
  <w:style w:type="paragraph" w:styleId="Footer">
    <w:name w:val="footer"/>
    <w:basedOn w:val="Normal"/>
    <w:link w:val="FooterChar"/>
    <w:autoRedefine/>
    <w:uiPriority w:val="99"/>
    <w:unhideWhenUsed/>
    <w:rsid w:val="00584EF0"/>
    <w:pPr>
      <w:tabs>
        <w:tab w:val="center" w:pos="4680"/>
        <w:tab w:val="right" w:pos="9360"/>
      </w:tabs>
    </w:pPr>
    <w:rPr>
      <w:sz w:val="22"/>
    </w:rPr>
  </w:style>
  <w:style w:type="character" w:customStyle="1" w:styleId="FooterChar">
    <w:name w:val="Footer Char"/>
    <w:basedOn w:val="DefaultParagraphFont"/>
    <w:link w:val="Footer"/>
    <w:uiPriority w:val="99"/>
    <w:rsid w:val="00584EF0"/>
    <w:rPr>
      <w:rFonts w:ascii="Equity Text A" w:eastAsia="Times New Roman" w:hAnsi="Equity Text A" w:cs="Times New Roman"/>
      <w:szCs w:val="24"/>
    </w:rPr>
  </w:style>
  <w:style w:type="character" w:styleId="PlaceholderText">
    <w:name w:val="Placeholder Text"/>
    <w:basedOn w:val="DefaultParagraphFont"/>
    <w:uiPriority w:val="99"/>
    <w:semiHidden/>
    <w:rsid w:val="00E57F49"/>
    <w:rPr>
      <w:color w:val="808080"/>
    </w:rPr>
  </w:style>
  <w:style w:type="paragraph" w:customStyle="1" w:styleId="CaptionStyle">
    <w:name w:val="Caption_Style"/>
    <w:link w:val="CaptionStyleChar"/>
    <w:qFormat/>
    <w:locked/>
    <w:rsid w:val="00B34B15"/>
    <w:pPr>
      <w:suppressAutoHyphens/>
      <w:spacing w:after="0" w:line="240" w:lineRule="auto"/>
      <w:ind w:firstLine="0"/>
    </w:pPr>
    <w:rPr>
      <w:rFonts w:ascii="Equity Text A" w:eastAsia="Times New Roman" w:hAnsi="Equity Text A" w:cs="Times New Roman"/>
      <w:sz w:val="26"/>
      <w:szCs w:val="24"/>
    </w:rPr>
  </w:style>
  <w:style w:type="paragraph" w:customStyle="1" w:styleId="Footnote">
    <w:name w:val="Footnote"/>
    <w:uiPriority w:val="4"/>
    <w:qFormat/>
    <w:locked/>
    <w:rsid w:val="00584EF0"/>
    <w:pPr>
      <w:suppressAutoHyphens/>
      <w:spacing w:line="240" w:lineRule="auto"/>
      <w:jc w:val="both"/>
    </w:pPr>
    <w:rPr>
      <w:rFonts w:ascii="Equity Text A" w:eastAsia="Times New Roman" w:hAnsi="Equity Text A" w:cs="Times New Roman"/>
      <w:szCs w:val="24"/>
    </w:rPr>
  </w:style>
  <w:style w:type="paragraph" w:styleId="BalloonText">
    <w:name w:val="Balloon Text"/>
    <w:basedOn w:val="Normal"/>
    <w:link w:val="BalloonTextChar"/>
    <w:uiPriority w:val="99"/>
    <w:semiHidden/>
    <w:unhideWhenUsed/>
    <w:rsid w:val="00111F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58"/>
    <w:rPr>
      <w:rFonts w:ascii="Segoe UI" w:eastAsia="Times New Roman" w:hAnsi="Segoe UI" w:cs="Segoe UI"/>
      <w:sz w:val="18"/>
      <w:szCs w:val="18"/>
    </w:rPr>
  </w:style>
  <w:style w:type="paragraph" w:styleId="FootnoteText">
    <w:name w:val="footnote text"/>
    <w:basedOn w:val="Normal"/>
    <w:link w:val="FootnoteTextChar"/>
    <w:autoRedefine/>
    <w:uiPriority w:val="99"/>
    <w:unhideWhenUsed/>
    <w:rsid w:val="00F31600"/>
    <w:pPr>
      <w:spacing w:line="240" w:lineRule="auto"/>
    </w:pPr>
    <w:rPr>
      <w:sz w:val="22"/>
      <w:szCs w:val="20"/>
    </w:rPr>
  </w:style>
  <w:style w:type="character" w:customStyle="1" w:styleId="FootnoteTextChar">
    <w:name w:val="Footnote Text Char"/>
    <w:basedOn w:val="DefaultParagraphFont"/>
    <w:link w:val="FootnoteText"/>
    <w:uiPriority w:val="99"/>
    <w:rsid w:val="00F31600"/>
    <w:rPr>
      <w:rFonts w:ascii="Equity Text A" w:eastAsia="Times New Roman" w:hAnsi="Equity Text A" w:cs="Times New Roman"/>
      <w:szCs w:val="20"/>
    </w:rPr>
  </w:style>
  <w:style w:type="character" w:styleId="FootnoteReference">
    <w:name w:val="footnote reference"/>
    <w:basedOn w:val="DefaultParagraphFont"/>
    <w:uiPriority w:val="99"/>
    <w:semiHidden/>
    <w:unhideWhenUsed/>
    <w:rsid w:val="00DB63B1"/>
    <w:rPr>
      <w:vertAlign w:val="superscript"/>
    </w:rPr>
  </w:style>
  <w:style w:type="paragraph" w:customStyle="1" w:styleId="Style1">
    <w:name w:val="Style1"/>
    <w:basedOn w:val="CaptionStyle"/>
    <w:link w:val="Style1Char"/>
    <w:rsid w:val="00C1574A"/>
  </w:style>
  <w:style w:type="paragraph" w:customStyle="1" w:styleId="Style2">
    <w:name w:val="Style2"/>
    <w:basedOn w:val="CaptionStyle"/>
    <w:link w:val="Style2Char"/>
    <w:rsid w:val="008951A8"/>
  </w:style>
  <w:style w:type="character" w:customStyle="1" w:styleId="CaptionStyleChar">
    <w:name w:val="Caption_Style Char"/>
    <w:basedOn w:val="DefaultParagraphFont"/>
    <w:link w:val="CaptionStyle"/>
    <w:rsid w:val="00B34B15"/>
    <w:rPr>
      <w:rFonts w:ascii="Equity Text A" w:eastAsia="Times New Roman" w:hAnsi="Equity Text A" w:cs="Times New Roman"/>
      <w:sz w:val="26"/>
      <w:szCs w:val="24"/>
    </w:rPr>
  </w:style>
  <w:style w:type="character" w:customStyle="1" w:styleId="Style1Char">
    <w:name w:val="Style1 Char"/>
    <w:basedOn w:val="CaptionStyleChar"/>
    <w:link w:val="Style1"/>
    <w:rsid w:val="00C1574A"/>
    <w:rPr>
      <w:rFonts w:ascii="Century Schoolbook" w:eastAsia="Times New Roman" w:hAnsi="Century Schoolbook" w:cs="Times New Roman"/>
      <w:sz w:val="26"/>
      <w:szCs w:val="24"/>
    </w:rPr>
  </w:style>
  <w:style w:type="character" w:customStyle="1" w:styleId="Style2Char">
    <w:name w:val="Style2 Char"/>
    <w:basedOn w:val="CaptionStyleChar"/>
    <w:link w:val="Style2"/>
    <w:rsid w:val="008951A8"/>
    <w:rPr>
      <w:rFonts w:ascii="Century Schoolbook" w:eastAsia="Times New Roman" w:hAnsi="Century Schoolbook" w:cs="Times New Roman"/>
      <w:sz w:val="26"/>
      <w:szCs w:val="24"/>
    </w:rPr>
  </w:style>
  <w:style w:type="paragraph" w:customStyle="1" w:styleId="CaseNumber">
    <w:name w:val="Case_Number"/>
    <w:link w:val="CaseNumberChar"/>
    <w:uiPriority w:val="4"/>
    <w:rsid w:val="008C576E"/>
    <w:pPr>
      <w:jc w:val="center"/>
    </w:pPr>
    <w:rPr>
      <w:rFonts w:ascii="Century Schoolbook" w:eastAsia="Times New Roman" w:hAnsi="Century Schoolbook" w:cs="Times New Roman"/>
      <w:sz w:val="26"/>
      <w:szCs w:val="24"/>
    </w:rPr>
  </w:style>
  <w:style w:type="table" w:styleId="TableGrid">
    <w:name w:val="Table Grid"/>
    <w:basedOn w:val="TableNormal"/>
    <w:uiPriority w:val="39"/>
    <w:locked/>
    <w:rsid w:val="008C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Char">
    <w:name w:val="Case_Number Char"/>
    <w:basedOn w:val="CaptionStyleChar"/>
    <w:link w:val="CaseNumber"/>
    <w:uiPriority w:val="4"/>
    <w:rsid w:val="00E644D3"/>
    <w:rPr>
      <w:rFonts w:ascii="Century Schoolbook" w:eastAsia="Times New Roman" w:hAnsi="Century Schoolbook" w:cs="Times New Roman"/>
      <w:sz w:val="26"/>
      <w:szCs w:val="24"/>
    </w:rPr>
  </w:style>
  <w:style w:type="character" w:styleId="LineNumber">
    <w:name w:val="line number"/>
    <w:basedOn w:val="DefaultParagraphFont"/>
    <w:uiPriority w:val="99"/>
    <w:semiHidden/>
    <w:unhideWhenUsed/>
    <w:rsid w:val="00974B65"/>
  </w:style>
  <w:style w:type="numbering" w:styleId="111111">
    <w:name w:val="Outline List 2"/>
    <w:basedOn w:val="NoList"/>
    <w:uiPriority w:val="99"/>
    <w:semiHidden/>
    <w:unhideWhenUsed/>
    <w:locked/>
    <w:rsid w:val="001565C4"/>
    <w:pPr>
      <w:numPr>
        <w:numId w:val="15"/>
      </w:numPr>
    </w:pPr>
  </w:style>
  <w:style w:type="character" w:customStyle="1" w:styleId="Style3">
    <w:name w:val="Style3"/>
    <w:uiPriority w:val="1"/>
    <w:rsid w:val="006C1A73"/>
  </w:style>
  <w:style w:type="character" w:styleId="Hyperlink">
    <w:name w:val="Hyperlink"/>
    <w:basedOn w:val="DefaultParagraphFont"/>
    <w:uiPriority w:val="99"/>
    <w:unhideWhenUsed/>
    <w:rsid w:val="00E6584D"/>
    <w:rPr>
      <w:color w:val="0563C1" w:themeColor="hyperlink"/>
      <w:u w:val="single"/>
    </w:rPr>
  </w:style>
  <w:style w:type="character" w:styleId="UnresolvedMention">
    <w:name w:val="Unresolved Mention"/>
    <w:basedOn w:val="DefaultParagraphFont"/>
    <w:uiPriority w:val="99"/>
    <w:semiHidden/>
    <w:unhideWhenUsed/>
    <w:rsid w:val="00E6584D"/>
    <w:rPr>
      <w:color w:val="605E5C"/>
      <w:shd w:val="clear" w:color="auto" w:fill="E1DFDD"/>
    </w:rPr>
  </w:style>
  <w:style w:type="character" w:customStyle="1" w:styleId="Heading2Char">
    <w:name w:val="Heading 2 Char"/>
    <w:basedOn w:val="DefaultParagraphFont"/>
    <w:link w:val="Heading2"/>
    <w:uiPriority w:val="9"/>
    <w:rsid w:val="00AD7C1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D7C1C"/>
    <w:pPr>
      <w:suppressAutoHyphens/>
      <w:spacing w:after="0" w:line="240" w:lineRule="auto"/>
      <w:jc w:val="both"/>
    </w:pPr>
    <w:rPr>
      <w:rFonts w:ascii="Equity Text A" w:eastAsia="Times New Roman" w:hAnsi="Equity Text A" w:cs="Times New Roman"/>
      <w:sz w:val="26"/>
      <w:szCs w:val="24"/>
    </w:rPr>
  </w:style>
  <w:style w:type="character" w:customStyle="1" w:styleId="Heading1Char">
    <w:name w:val="Heading 1 Char"/>
    <w:basedOn w:val="DefaultParagraphFont"/>
    <w:link w:val="Heading1"/>
    <w:uiPriority w:val="9"/>
    <w:rsid w:val="00AD7C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27189">
      <w:bodyDiv w:val="1"/>
      <w:marLeft w:val="0"/>
      <w:marRight w:val="0"/>
      <w:marTop w:val="0"/>
      <w:marBottom w:val="0"/>
      <w:divBdr>
        <w:top w:val="none" w:sz="0" w:space="0" w:color="auto"/>
        <w:left w:val="none" w:sz="0" w:space="0" w:color="auto"/>
        <w:bottom w:val="none" w:sz="0" w:space="0" w:color="auto"/>
        <w:right w:val="none" w:sz="0" w:space="0" w:color="auto"/>
      </w:divBdr>
    </w:div>
    <w:div w:id="1384789101">
      <w:bodyDiv w:val="1"/>
      <w:marLeft w:val="0"/>
      <w:marRight w:val="0"/>
      <w:marTop w:val="0"/>
      <w:marBottom w:val="0"/>
      <w:divBdr>
        <w:top w:val="none" w:sz="0" w:space="0" w:color="auto"/>
        <w:left w:val="none" w:sz="0" w:space="0" w:color="auto"/>
        <w:bottom w:val="none" w:sz="0" w:space="0" w:color="auto"/>
        <w:right w:val="none" w:sz="0" w:space="0" w:color="auto"/>
      </w:divBdr>
    </w:div>
    <w:div w:id="14660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56F30B98574979ABB380F478AA83F1"/>
        <w:category>
          <w:name w:val="General"/>
          <w:gallery w:val="placeholder"/>
        </w:category>
        <w:types>
          <w:type w:val="bbPlcHdr"/>
        </w:types>
        <w:behaviors>
          <w:behavior w:val="content"/>
        </w:behaviors>
        <w:guid w:val="{08C60CD4-06C8-4A83-8CE5-7A2648E039E2}"/>
      </w:docPartPr>
      <w:docPartBody>
        <w:p w:rsidR="008B29D8" w:rsidRDefault="008B29D8">
          <w:pPr>
            <w:pStyle w:val="CC56F30B98574979ABB380F478AA83F1"/>
          </w:pPr>
          <w:r w:rsidRPr="0046020E">
            <w:rPr>
              <w:rStyle w:val="PlaceholderText"/>
              <w:color w:val="FF0000"/>
            </w:rPr>
            <w:t xml:space="preserve">Click here to enter </w:t>
          </w:r>
          <w:r>
            <w:rPr>
              <w:rStyle w:val="PlaceholderText"/>
              <w:color w:val="FF0000"/>
            </w:rPr>
            <w:t>Court Appealed from and Lower Court Case Number</w:t>
          </w:r>
          <w:r w:rsidRPr="0046020E">
            <w:rPr>
              <w:rStyle w:val="PlaceholderText"/>
              <w:color w:val="FF0000"/>
            </w:rPr>
            <w:t>.</w:t>
          </w:r>
        </w:p>
      </w:docPartBody>
    </w:docPart>
    <w:docPart>
      <w:docPartPr>
        <w:name w:val="54136579EAA8444C915DE80A2E3B7511"/>
        <w:category>
          <w:name w:val="General"/>
          <w:gallery w:val="placeholder"/>
        </w:category>
        <w:types>
          <w:type w:val="bbPlcHdr"/>
        </w:types>
        <w:behaviors>
          <w:behavior w:val="content"/>
        </w:behaviors>
        <w:guid w:val="{148C2BE9-67DD-4D95-BFE1-78FA5A56E225}"/>
      </w:docPartPr>
      <w:docPartBody>
        <w:p w:rsidR="008B29D8" w:rsidRDefault="008B29D8">
          <w:pPr>
            <w:pStyle w:val="54136579EAA8444C915DE80A2E3B7511"/>
          </w:pPr>
          <w:r w:rsidRPr="00F256D4">
            <w:rPr>
              <w:rStyle w:val="PlaceholderText"/>
              <w:rFonts w:ascii="Equity Caps A" w:hAnsi="Equity Caps A"/>
              <w:color w:val="FF0000"/>
            </w:rPr>
            <w:t xml:space="preserve">Click here to enter </w:t>
          </w:r>
          <w:r>
            <w:rPr>
              <w:rStyle w:val="PlaceholderText"/>
              <w:rFonts w:ascii="Equity Caps A" w:hAnsi="Equity Caps A"/>
              <w:color w:val="FF0000"/>
            </w:rPr>
            <w:t>Panel Members</w:t>
          </w:r>
          <w:r w:rsidRPr="00F256D4">
            <w:rPr>
              <w:rStyle w:val="PlaceholderText"/>
              <w:rFonts w:ascii="Equity Caps A" w:hAnsi="Equity Caps A"/>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quity Text A">
    <w:panose1 w:val="000000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quity Caps A">
    <w:panose1 w:val="00000000000000000000"/>
    <w:charset w:val="00"/>
    <w:family w:val="auto"/>
    <w:pitch w:val="variable"/>
    <w:sig w:usb0="20000007" w:usb1="00000000"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D8"/>
    <w:rsid w:val="002120E0"/>
    <w:rsid w:val="002317F6"/>
    <w:rsid w:val="00332F85"/>
    <w:rsid w:val="003925F6"/>
    <w:rsid w:val="003E6EB2"/>
    <w:rsid w:val="00535149"/>
    <w:rsid w:val="00593D0C"/>
    <w:rsid w:val="007A3065"/>
    <w:rsid w:val="00835A22"/>
    <w:rsid w:val="00881CA3"/>
    <w:rsid w:val="008B29D8"/>
    <w:rsid w:val="00AC66A0"/>
    <w:rsid w:val="00B475C9"/>
    <w:rsid w:val="00DF0AAB"/>
    <w:rsid w:val="00E4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56F30B98574979ABB380F478AA83F1">
    <w:name w:val="CC56F30B98574979ABB380F478AA83F1"/>
  </w:style>
  <w:style w:type="paragraph" w:customStyle="1" w:styleId="54136579EAA8444C915DE80A2E3B7511">
    <w:name w:val="54136579EAA8444C915DE80A2E3B7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2021-11-19T22:17:00Z</dcterms:created>
  <dcterms:modified xsi:type="dcterms:W3CDTF">2021-11-19T22:17:00Z</dcterms:modified>
</cp:coreProperties>
</file>